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BC3E4" w14:textId="5A9B2FDD" w:rsidR="007561F6" w:rsidRDefault="007561F6" w:rsidP="007561F6">
      <w:pPr>
        <w:rPr>
          <w:rFonts w:cs="Times New Roman"/>
          <w:szCs w:val="24"/>
        </w:rPr>
      </w:pPr>
      <w:r w:rsidRPr="00E7583D">
        <w:rPr>
          <w:b/>
        </w:rPr>
        <w:t xml:space="preserve">Supplementary </w:t>
      </w:r>
      <w:r w:rsidR="00435692">
        <w:rPr>
          <w:b/>
        </w:rPr>
        <w:t>S1</w:t>
      </w:r>
      <w:r>
        <w:rPr>
          <w:b/>
        </w:rPr>
        <w:t xml:space="preserve"> for: </w:t>
      </w:r>
      <w:r w:rsidR="004E6CEA">
        <w:rPr>
          <w:rFonts w:cs="Times New Roman"/>
          <w:szCs w:val="24"/>
        </w:rPr>
        <w:t>I</w:t>
      </w:r>
      <w:r w:rsidRPr="004826A7">
        <w:rPr>
          <w:rFonts w:cs="Times New Roman"/>
          <w:szCs w:val="24"/>
        </w:rPr>
        <w:t xml:space="preserve">ntra-tooth stable isotope </w:t>
      </w:r>
      <w:r>
        <w:rPr>
          <w:rFonts w:cs="Times New Roman"/>
          <w:szCs w:val="24"/>
        </w:rPr>
        <w:t>profiles</w:t>
      </w:r>
      <w:r w:rsidRPr="004826A7">
        <w:rPr>
          <w:rFonts w:cs="Times New Roman"/>
          <w:szCs w:val="24"/>
        </w:rPr>
        <w:t xml:space="preserve"> in warthog</w:t>
      </w:r>
      <w:r>
        <w:rPr>
          <w:rFonts w:cs="Times New Roman"/>
          <w:szCs w:val="24"/>
        </w:rPr>
        <w:t xml:space="preserve"> canines and third molars: implications for paleoenvironmental reconstructions</w:t>
      </w:r>
      <w:r w:rsidRPr="004826A7">
        <w:rPr>
          <w:rFonts w:cs="Times New Roman"/>
          <w:szCs w:val="24"/>
        </w:rPr>
        <w:t xml:space="preserve"> </w:t>
      </w:r>
    </w:p>
    <w:p w14:paraId="4C46A7D1" w14:textId="77777777" w:rsidR="007561F6" w:rsidRDefault="007561F6" w:rsidP="007561F6">
      <w:pPr>
        <w:rPr>
          <w:rFonts w:cs="Times New Roman"/>
          <w:szCs w:val="24"/>
        </w:rPr>
      </w:pPr>
      <w:r w:rsidRPr="004826A7">
        <w:rPr>
          <w:rFonts w:cs="Times New Roman"/>
          <w:szCs w:val="24"/>
        </w:rPr>
        <w:t>Authors: Deming Yang</w:t>
      </w:r>
      <w:r>
        <w:rPr>
          <w:rFonts w:cs="Times New Roman"/>
          <w:szCs w:val="24"/>
        </w:rPr>
        <w:t xml:space="preserve"> </w:t>
      </w:r>
      <w:r>
        <w:rPr>
          <w:rFonts w:cs="Times New Roman"/>
          <w:szCs w:val="24"/>
          <w:vertAlign w:val="superscript"/>
        </w:rPr>
        <w:t>a,*</w:t>
      </w:r>
      <w:r w:rsidRPr="004826A7">
        <w:rPr>
          <w:rFonts w:cs="Times New Roman"/>
          <w:szCs w:val="24"/>
        </w:rPr>
        <w:t xml:space="preserve">, Kevin </w:t>
      </w:r>
      <w:r>
        <w:rPr>
          <w:rFonts w:cs="Times New Roman"/>
          <w:szCs w:val="24"/>
        </w:rPr>
        <w:t xml:space="preserve">T. </w:t>
      </w:r>
      <w:r w:rsidRPr="004826A7">
        <w:rPr>
          <w:rFonts w:cs="Times New Roman"/>
          <w:szCs w:val="24"/>
        </w:rPr>
        <w:t>Uno</w:t>
      </w:r>
      <w:r>
        <w:rPr>
          <w:rFonts w:cs="Times New Roman"/>
          <w:szCs w:val="24"/>
        </w:rPr>
        <w:t xml:space="preserve"> </w:t>
      </w:r>
      <w:r>
        <w:rPr>
          <w:rFonts w:cs="Times New Roman"/>
          <w:szCs w:val="24"/>
          <w:vertAlign w:val="superscript"/>
        </w:rPr>
        <w:t>b</w:t>
      </w:r>
      <w:r w:rsidRPr="004826A7">
        <w:rPr>
          <w:rFonts w:cs="Times New Roman"/>
          <w:szCs w:val="24"/>
        </w:rPr>
        <w:t>, Antoine Souron</w:t>
      </w:r>
      <w:r>
        <w:rPr>
          <w:rFonts w:cs="Times New Roman"/>
          <w:szCs w:val="24"/>
        </w:rPr>
        <w:t xml:space="preserve"> </w:t>
      </w:r>
      <w:r>
        <w:rPr>
          <w:rFonts w:cs="Times New Roman"/>
          <w:szCs w:val="24"/>
          <w:vertAlign w:val="superscript"/>
        </w:rPr>
        <w:t>c</w:t>
      </w:r>
      <w:r w:rsidRPr="004826A7">
        <w:rPr>
          <w:rFonts w:cs="Times New Roman"/>
          <w:szCs w:val="24"/>
        </w:rPr>
        <w:t xml:space="preserve">, </w:t>
      </w:r>
      <w:r>
        <w:rPr>
          <w:rFonts w:cs="Times New Roman"/>
          <w:szCs w:val="24"/>
        </w:rPr>
        <w:t xml:space="preserve">Kate McGrath </w:t>
      </w:r>
      <w:proofErr w:type="spellStart"/>
      <w:r w:rsidRPr="00371F24">
        <w:rPr>
          <w:rFonts w:cs="Times New Roman"/>
          <w:szCs w:val="24"/>
          <w:vertAlign w:val="superscript"/>
        </w:rPr>
        <w:t>c</w:t>
      </w:r>
      <w:r>
        <w:rPr>
          <w:rFonts w:cs="Times New Roman"/>
          <w:szCs w:val="24"/>
          <w:vertAlign w:val="superscript"/>
        </w:rPr>
        <w:t>,d</w:t>
      </w:r>
      <w:proofErr w:type="spellEnd"/>
      <w:r>
        <w:rPr>
          <w:rFonts w:cs="Times New Roman"/>
          <w:szCs w:val="24"/>
        </w:rPr>
        <w:t>, É</w:t>
      </w:r>
      <w:r w:rsidRPr="004826A7">
        <w:rPr>
          <w:rFonts w:cs="Times New Roman"/>
          <w:szCs w:val="24"/>
        </w:rPr>
        <w:t xml:space="preserve">ric </w:t>
      </w:r>
      <w:proofErr w:type="spellStart"/>
      <w:r w:rsidRPr="004826A7">
        <w:rPr>
          <w:rFonts w:cs="Times New Roman"/>
          <w:szCs w:val="24"/>
        </w:rPr>
        <w:t>Pubert</w:t>
      </w:r>
      <w:proofErr w:type="spellEnd"/>
      <w:r>
        <w:rPr>
          <w:rFonts w:cs="Times New Roman"/>
          <w:szCs w:val="24"/>
        </w:rPr>
        <w:t xml:space="preserve"> </w:t>
      </w:r>
      <w:r>
        <w:rPr>
          <w:rFonts w:cs="Times New Roman"/>
          <w:szCs w:val="24"/>
          <w:vertAlign w:val="superscript"/>
        </w:rPr>
        <w:t>c</w:t>
      </w:r>
      <w:r w:rsidRPr="004826A7">
        <w:rPr>
          <w:rFonts w:cs="Times New Roman"/>
          <w:szCs w:val="24"/>
        </w:rPr>
        <w:t xml:space="preserve">, Thure </w:t>
      </w:r>
      <w:r>
        <w:rPr>
          <w:rFonts w:cs="Times New Roman"/>
          <w:szCs w:val="24"/>
        </w:rPr>
        <w:t xml:space="preserve">E. </w:t>
      </w:r>
      <w:r w:rsidRPr="004826A7">
        <w:rPr>
          <w:rFonts w:cs="Times New Roman"/>
          <w:szCs w:val="24"/>
        </w:rPr>
        <w:t>Cerling</w:t>
      </w:r>
      <w:r>
        <w:rPr>
          <w:rFonts w:cs="Times New Roman"/>
          <w:szCs w:val="24"/>
        </w:rPr>
        <w:t xml:space="preserve"> </w:t>
      </w:r>
      <w:r>
        <w:rPr>
          <w:rFonts w:cs="Times New Roman"/>
          <w:szCs w:val="24"/>
          <w:vertAlign w:val="superscript"/>
        </w:rPr>
        <w:t>e</w:t>
      </w:r>
    </w:p>
    <w:p w14:paraId="4DA0DA49" w14:textId="77777777" w:rsidR="007561F6" w:rsidRDefault="007561F6" w:rsidP="007561F6">
      <w:pPr>
        <w:rPr>
          <w:rFonts w:cs="Times New Roman"/>
          <w:szCs w:val="24"/>
        </w:rPr>
      </w:pPr>
    </w:p>
    <w:p w14:paraId="2EE308CC" w14:textId="77777777" w:rsidR="007561F6" w:rsidRDefault="007561F6" w:rsidP="007561F6">
      <w:pPr>
        <w:rPr>
          <w:rFonts w:cs="Times New Roman"/>
          <w:szCs w:val="24"/>
        </w:rPr>
      </w:pPr>
      <w:proofErr w:type="spellStart"/>
      <w:proofErr w:type="gramStart"/>
      <w:r w:rsidRPr="00513CF1">
        <w:rPr>
          <w:rFonts w:cs="Times New Roman"/>
          <w:szCs w:val="24"/>
          <w:vertAlign w:val="superscript"/>
        </w:rPr>
        <w:t>a</w:t>
      </w:r>
      <w:proofErr w:type="spellEnd"/>
      <w:proofErr w:type="gramEnd"/>
      <w:r>
        <w:rPr>
          <w:rFonts w:cs="Times New Roman"/>
          <w:szCs w:val="24"/>
        </w:rPr>
        <w:t xml:space="preserve"> Interdepartmental Doctoral Program in Anthropological Sciences, Stony Brook University, Stony Brook, NY 11794, United States</w:t>
      </w:r>
    </w:p>
    <w:p w14:paraId="56D551A0" w14:textId="77777777" w:rsidR="007561F6" w:rsidRDefault="007561F6" w:rsidP="007561F6">
      <w:pPr>
        <w:rPr>
          <w:rFonts w:cs="Times New Roman"/>
          <w:szCs w:val="24"/>
        </w:rPr>
      </w:pPr>
      <w:r w:rsidRPr="00513CF1">
        <w:rPr>
          <w:rFonts w:cs="Times New Roman"/>
          <w:szCs w:val="24"/>
          <w:vertAlign w:val="superscript"/>
        </w:rPr>
        <w:t>b</w:t>
      </w:r>
      <w:r>
        <w:rPr>
          <w:rFonts w:cs="Times New Roman"/>
          <w:szCs w:val="24"/>
        </w:rPr>
        <w:t xml:space="preserve"> </w:t>
      </w:r>
      <w:r w:rsidRPr="00BD4AC5">
        <w:t>Division of Biology and Paleo Environment, Lamont-Doherty Earth Observatory of Columbia University</w:t>
      </w:r>
      <w:r>
        <w:t xml:space="preserve">, Palisades, </w:t>
      </w:r>
      <w:r>
        <w:rPr>
          <w:rFonts w:cs="Times New Roman"/>
          <w:szCs w:val="24"/>
        </w:rPr>
        <w:t>NY 10964, United States</w:t>
      </w:r>
    </w:p>
    <w:p w14:paraId="50A946F5" w14:textId="289C11F3" w:rsidR="007561F6" w:rsidRPr="00140743" w:rsidRDefault="007561F6" w:rsidP="007561F6">
      <w:pPr>
        <w:rPr>
          <w:rFonts w:cs="Times New Roman"/>
          <w:szCs w:val="24"/>
          <w:lang w:val="fr-FR"/>
        </w:rPr>
      </w:pPr>
      <w:proofErr w:type="gramStart"/>
      <w:r w:rsidRPr="00140743">
        <w:rPr>
          <w:rFonts w:cs="Times New Roman"/>
          <w:szCs w:val="24"/>
          <w:vertAlign w:val="superscript"/>
          <w:lang w:val="fr-FR"/>
        </w:rPr>
        <w:t>c</w:t>
      </w:r>
      <w:proofErr w:type="gramEnd"/>
      <w:r w:rsidRPr="00140743">
        <w:rPr>
          <w:rFonts w:cs="Times New Roman"/>
          <w:szCs w:val="24"/>
          <w:lang w:val="fr-FR"/>
        </w:rPr>
        <w:t xml:space="preserve"> </w:t>
      </w:r>
      <w:r w:rsidR="00E52432" w:rsidRPr="00140743">
        <w:rPr>
          <w:rFonts w:cs="Times New Roman"/>
          <w:szCs w:val="24"/>
          <w:lang w:val="fr-FR"/>
        </w:rPr>
        <w:t xml:space="preserve">UMR CNRS 5199, PACEA, Université de Bordeaux, </w:t>
      </w:r>
      <w:r w:rsidR="00E52432">
        <w:rPr>
          <w:rFonts w:cs="Times New Roman"/>
          <w:szCs w:val="24"/>
          <w:lang w:val="fr-FR"/>
        </w:rPr>
        <w:t xml:space="preserve">33615 </w:t>
      </w:r>
      <w:r w:rsidR="00E52432" w:rsidRPr="00140743">
        <w:rPr>
          <w:rFonts w:cs="Times New Roman"/>
          <w:szCs w:val="24"/>
          <w:lang w:val="fr-FR"/>
        </w:rPr>
        <w:t>Pessac, France</w:t>
      </w:r>
      <w:r w:rsidR="00E52432" w:rsidRPr="00140743" w:rsidDel="00E52432">
        <w:rPr>
          <w:rFonts w:cs="Times New Roman"/>
          <w:szCs w:val="24"/>
          <w:lang w:val="fr-FR"/>
        </w:rPr>
        <w:t xml:space="preserve"> </w:t>
      </w:r>
    </w:p>
    <w:p w14:paraId="09140B0F" w14:textId="77777777" w:rsidR="007561F6" w:rsidRPr="009E601E" w:rsidRDefault="007561F6" w:rsidP="007561F6">
      <w:pPr>
        <w:rPr>
          <w:rFonts w:cs="Times New Roman"/>
          <w:szCs w:val="24"/>
        </w:rPr>
      </w:pPr>
      <w:r w:rsidRPr="00D2080F">
        <w:rPr>
          <w:rFonts w:cs="Times New Roman"/>
          <w:szCs w:val="24"/>
          <w:vertAlign w:val="superscript"/>
        </w:rPr>
        <w:t>d</w:t>
      </w:r>
      <w:r>
        <w:rPr>
          <w:rFonts w:cs="Times New Roman"/>
          <w:szCs w:val="24"/>
          <w:vertAlign w:val="superscript"/>
        </w:rPr>
        <w:t xml:space="preserve"> </w:t>
      </w:r>
      <w:r>
        <w:rPr>
          <w:rFonts w:cs="Times New Roman"/>
          <w:szCs w:val="24"/>
        </w:rPr>
        <w:t>Center for the Advanced Study of Human Paleobiology, Department of Anthropology, The George Washington University, Washington, DC 20052, United States</w:t>
      </w:r>
    </w:p>
    <w:p w14:paraId="60F9010F" w14:textId="77777777" w:rsidR="007561F6" w:rsidRDefault="007561F6" w:rsidP="007561F6">
      <w:pPr>
        <w:rPr>
          <w:rFonts w:cs="Times New Roman"/>
          <w:szCs w:val="24"/>
        </w:rPr>
      </w:pPr>
      <w:r>
        <w:rPr>
          <w:rFonts w:cs="Times New Roman"/>
          <w:szCs w:val="24"/>
          <w:vertAlign w:val="superscript"/>
        </w:rPr>
        <w:t xml:space="preserve">e </w:t>
      </w:r>
      <w:r w:rsidRPr="00D2080F">
        <w:rPr>
          <w:rFonts w:cs="Times New Roman"/>
          <w:szCs w:val="24"/>
        </w:rPr>
        <w:t>Department of Geology and Geophysics, University of Utah, Salt Lake City, UT</w:t>
      </w:r>
      <w:r>
        <w:rPr>
          <w:rFonts w:cs="Times New Roman"/>
          <w:szCs w:val="24"/>
        </w:rPr>
        <w:t xml:space="preserve"> 84112, United States</w:t>
      </w:r>
    </w:p>
    <w:p w14:paraId="4BAA88A5" w14:textId="77777777" w:rsidR="007561F6" w:rsidRDefault="007561F6" w:rsidP="007561F6">
      <w:pPr>
        <w:rPr>
          <w:rFonts w:cs="Times New Roman"/>
          <w:szCs w:val="24"/>
        </w:rPr>
      </w:pPr>
      <w:r w:rsidRPr="00513CF1">
        <w:rPr>
          <w:rFonts w:cs="Times New Roman"/>
          <w:szCs w:val="24"/>
          <w:vertAlign w:val="superscript"/>
        </w:rPr>
        <w:t>*</w:t>
      </w:r>
      <w:r>
        <w:rPr>
          <w:rFonts w:cs="Times New Roman"/>
          <w:szCs w:val="24"/>
        </w:rPr>
        <w:t xml:space="preserve"> Corresponding author </w:t>
      </w:r>
    </w:p>
    <w:p w14:paraId="684906DE" w14:textId="77777777" w:rsidR="007561F6" w:rsidRDefault="007561F6" w:rsidP="007561F6">
      <w:pPr>
        <w:rPr>
          <w:rFonts w:cs="Times New Roman"/>
          <w:szCs w:val="24"/>
        </w:rPr>
      </w:pPr>
      <w:r w:rsidRPr="008C25C4">
        <w:rPr>
          <w:rFonts w:cs="Times New Roman"/>
          <w:i/>
          <w:szCs w:val="24"/>
        </w:rPr>
        <w:t>Email address:</w:t>
      </w:r>
      <w:r>
        <w:rPr>
          <w:rFonts w:cs="Times New Roman"/>
          <w:szCs w:val="24"/>
        </w:rPr>
        <w:t xml:space="preserve"> </w:t>
      </w:r>
      <w:hyperlink r:id="rId8" w:history="1">
        <w:r w:rsidRPr="00B1160F">
          <w:rPr>
            <w:rStyle w:val="Hyperlink"/>
            <w:szCs w:val="24"/>
          </w:rPr>
          <w:t>deming.yang@stonybrook.edu</w:t>
        </w:r>
      </w:hyperlink>
    </w:p>
    <w:p w14:paraId="54996630" w14:textId="77777777" w:rsidR="007561F6" w:rsidRDefault="007561F6" w:rsidP="007561F6">
      <w:pPr>
        <w:rPr>
          <w:b/>
        </w:rPr>
      </w:pPr>
    </w:p>
    <w:p w14:paraId="1BF21CBA" w14:textId="77777777" w:rsidR="007561F6" w:rsidRDefault="007561F6" w:rsidP="007561F6">
      <w:pPr>
        <w:rPr>
          <w:b/>
        </w:rPr>
      </w:pPr>
      <w:r>
        <w:rPr>
          <w:b/>
        </w:rPr>
        <w:t>This file includes:</w:t>
      </w:r>
    </w:p>
    <w:p w14:paraId="3244C484" w14:textId="0E882308" w:rsidR="007561F6" w:rsidRDefault="007561F6" w:rsidP="007561F6">
      <w:r w:rsidRPr="00D80AC1">
        <w:t xml:space="preserve">Supplementary </w:t>
      </w:r>
      <w:r w:rsidR="00D97BEC">
        <w:t>T</w:t>
      </w:r>
      <w:r w:rsidR="00D97BEC" w:rsidRPr="00D80AC1">
        <w:t xml:space="preserve">ext </w:t>
      </w:r>
      <w:r w:rsidRPr="00D80AC1">
        <w:t>1-</w:t>
      </w:r>
      <w:r>
        <w:t>12</w:t>
      </w:r>
    </w:p>
    <w:p w14:paraId="1333D798" w14:textId="77777777" w:rsidR="007561F6" w:rsidRDefault="007561F6" w:rsidP="007561F6">
      <w:r>
        <w:t>Supplementary Tables S1-S6</w:t>
      </w:r>
    </w:p>
    <w:p w14:paraId="46E29B50" w14:textId="06697145" w:rsidR="007561F6" w:rsidRDefault="007561F6" w:rsidP="007561F6">
      <w:r>
        <w:t xml:space="preserve">Supplementary </w:t>
      </w:r>
      <w:r w:rsidRPr="00D52EF8">
        <w:t>Figures S1-</w:t>
      </w:r>
      <w:r w:rsidR="00D52EF8" w:rsidRPr="00D52EF8">
        <w:t>S</w:t>
      </w:r>
      <w:r w:rsidR="00D52EF8" w:rsidRPr="00A901B1">
        <w:t>8</w:t>
      </w:r>
    </w:p>
    <w:p w14:paraId="7E6D35A2" w14:textId="283FD045" w:rsidR="007561F6" w:rsidRDefault="007561F6" w:rsidP="007561F6">
      <w:r>
        <w:t xml:space="preserve">Supplementary References </w:t>
      </w:r>
    </w:p>
    <w:p w14:paraId="3325C09B" w14:textId="77777777" w:rsidR="00E52432" w:rsidRDefault="00E52432" w:rsidP="007561F6"/>
    <w:p w14:paraId="3EAF856F" w14:textId="77777777" w:rsidR="007561F6" w:rsidRPr="004659D9" w:rsidRDefault="007561F6" w:rsidP="007561F6">
      <w:pPr>
        <w:rPr>
          <w:b/>
          <w:bCs/>
        </w:rPr>
      </w:pPr>
      <w:r w:rsidRPr="004659D9">
        <w:rPr>
          <w:b/>
          <w:bCs/>
        </w:rPr>
        <w:lastRenderedPageBreak/>
        <w:t>1. Rainy season onset, cessation</w:t>
      </w:r>
      <w:r w:rsidR="004169E3">
        <w:rPr>
          <w:b/>
          <w:bCs/>
        </w:rPr>
        <w:t>,</w:t>
      </w:r>
      <w:r w:rsidRPr="004659D9">
        <w:rPr>
          <w:b/>
          <w:bCs/>
        </w:rPr>
        <w:t xml:space="preserve"> and duration using Mpala precipitation record </w:t>
      </w:r>
    </w:p>
    <w:p w14:paraId="6E9EB748" w14:textId="3CB9C522" w:rsidR="007561F6" w:rsidRDefault="007561F6" w:rsidP="007561F6">
      <w:r>
        <w:tab/>
        <w:t xml:space="preserve">The </w:t>
      </w:r>
      <w:r w:rsidRPr="004659D9">
        <w:t>Mpala precipitation record</w:t>
      </w:r>
      <w:r>
        <w:t xml:space="preserve"> </w:t>
      </w:r>
      <w:r>
        <w:fldChar w:fldCharType="begin"/>
      </w:r>
      <w:r>
        <w:instrText xml:space="preserve"> ADDIN EN.CITE &lt;EndNote&gt;&lt;Cite&gt;&lt;Author&gt;Caylor&lt;/Author&gt;&lt;Year&gt;2019&lt;/Year&gt;&lt;RecNum&gt;912&lt;/RecNum&gt;&lt;DisplayText&gt;(Caylor et al., 2019)&lt;/DisplayText&gt;&lt;record&gt;&lt;rec-number&gt;912&lt;/rec-number&gt;&lt;foreign-keys&gt;&lt;key app="EN" db-id="tfdrzwraavd093eezvk5z5ehd2xvxse2wfar" timestamp="1575748313"&gt;912&lt;/key&gt;&lt;/foreign-keys&gt;&lt;ref-type name="Dataset"&gt;59&lt;/ref-type&gt;&lt;contributors&gt;&lt;authors&gt;&lt;author&gt;Caylor, K.&lt;/author&gt;&lt;author&gt;Gitonga, J.&lt;/author&gt;&lt;author&gt;Martins, D.&lt;/author&gt;&lt;/authors&gt;&lt;/contributors&gt;&lt;titles&gt;&lt;title&gt;Mpala Research Centre Meteorological and Hydrological Dataset&lt;/title&gt;&lt;/titles&gt;&lt;dates&gt;&lt;year&gt;2019&lt;/year&gt;&lt;/dates&gt;&lt;pub-location&gt;Laikipia, Kenya&lt;/pub-location&gt;&lt;publisher&gt;Mpala Research Centre&lt;/publisher&gt;&lt;urls&gt;&lt;/urls&gt;&lt;/record&gt;&lt;/Cite&gt;&lt;/EndNote&gt;</w:instrText>
      </w:r>
      <w:r>
        <w:fldChar w:fldCharType="separate"/>
      </w:r>
      <w:r>
        <w:rPr>
          <w:noProof/>
        </w:rPr>
        <w:t>(</w:t>
      </w:r>
      <w:hyperlink w:anchor="_ENREF_2" w:tooltip="Caylor, 2019 #912" w:history="1">
        <w:r w:rsidR="000B3CB2">
          <w:rPr>
            <w:noProof/>
          </w:rPr>
          <w:t>Caylor et al., 2019</w:t>
        </w:r>
      </w:hyperlink>
      <w:r>
        <w:rPr>
          <w:noProof/>
        </w:rPr>
        <w:t>)</w:t>
      </w:r>
      <w:r>
        <w:fldChar w:fldCharType="end"/>
      </w:r>
      <w:r>
        <w:t xml:space="preserve"> consists of daily manual rain gauge readings (from May 1998 to November 2015) and daily (0000 - 2400 hours) automatic weather station precipitation readouts (from April 2011 to March 2019). We used the manual rain gauge dataset for our seasonal duration calculation. The precipitation pattern of Mpala, Laikipia, generally consists of frequent rains from</w:t>
      </w:r>
      <w:r>
        <w:rPr>
          <w:rFonts w:cs="Times New Roman"/>
          <w:bCs/>
          <w:szCs w:val="24"/>
        </w:rPr>
        <w:t xml:space="preserve"> March to June (the long rainy season), from October to November</w:t>
      </w:r>
      <w:r>
        <w:t xml:space="preserve"> </w:t>
      </w:r>
      <w:r>
        <w:rPr>
          <w:rFonts w:cs="Times New Roman"/>
          <w:bCs/>
          <w:szCs w:val="24"/>
        </w:rPr>
        <w:t xml:space="preserve">(the short rainy season), and periodical rains from July to August (the boreal summer rains). </w:t>
      </w:r>
      <w:r>
        <w:t>Rainy season onset is</w:t>
      </w:r>
      <w:r w:rsidRPr="0053187B">
        <w:t xml:space="preserve"> defined as the first day </w:t>
      </w:r>
      <w:r>
        <w:t xml:space="preserve">of precipitation </w:t>
      </w:r>
      <w:r w:rsidRPr="0053187B">
        <w:t xml:space="preserve">with at least </w:t>
      </w:r>
      <w:r>
        <w:t>15</w:t>
      </w:r>
      <w:r w:rsidRPr="0053187B">
        <w:t xml:space="preserve"> mm</w:t>
      </w:r>
      <w:r>
        <w:t xml:space="preserve"> of</w:t>
      </w:r>
      <w:r w:rsidRPr="0053187B">
        <w:t xml:space="preserve"> cumulat</w:t>
      </w:r>
      <w:r>
        <w:t>ive</w:t>
      </w:r>
      <w:r w:rsidRPr="0053187B">
        <w:t xml:space="preserve"> rainfall received during </w:t>
      </w:r>
      <w:r w:rsidR="001B01E6">
        <w:t>five</w:t>
      </w:r>
      <w:r w:rsidRPr="0053187B">
        <w:t xml:space="preserve"> successive days</w:t>
      </w:r>
      <w:r>
        <w:t xml:space="preserve"> </w:t>
      </w:r>
      <w:r>
        <w:fldChar w:fldCharType="begin"/>
      </w:r>
      <w:r w:rsidR="0032615F">
        <w:instrText xml:space="preserve"> ADDIN EN.CITE &lt;EndNote&gt;&lt;Cite&gt;&lt;Author&gt;Ngetich&lt;/Author&gt;&lt;Year&gt;2014&lt;/Year&gt;&lt;RecNum&gt;994&lt;/RecNum&gt;&lt;Prefix&gt;modified from &lt;/Prefix&gt;&lt;DisplayText&gt;(modified from Ngetich et al., 2014)&lt;/DisplayText&gt;&lt;record&gt;&lt;rec-number&gt;994&lt;/rec-number&gt;&lt;foreign-keys&gt;&lt;key app="EN" db-id="tfdrzwraavd093eezvk5z5ehd2xvxse2wfar" timestamp="1581458063"&gt;994&lt;/key&gt;&lt;/foreign-keys&gt;&lt;ref-type name="Journal Article"&gt;17&lt;/ref-type&gt;&lt;contributors&gt;&lt;authors&gt;&lt;author&gt;Ngetich, K. F.&lt;/author&gt;&lt;author&gt;Mucheru-Muna, M.&lt;/author&gt;&lt;author&gt;Mugwe, J. N.&lt;/author&gt;&lt;author&gt;Shisanya, C. A.&lt;/author&gt;&lt;author&gt;Diels, J.&lt;/author&gt;&lt;author&gt;Mugendi, D. N.&lt;/author&gt;&lt;/authors&gt;&lt;/contributors&gt;&lt;titles&gt;&lt;title&gt;Length of growing season, rainfall temporal distribution, onset and cessation dates in the Kenyan highlands&lt;/title&gt;&lt;secondary-title&gt;Agricultural and Forest Meteorology&lt;/secondary-title&gt;&lt;/titles&gt;&lt;periodical&gt;&lt;full-title&gt;Agricultural and Forest Meteorology&lt;/full-title&gt;&lt;abbr-1&gt;Agric For Meteorol&lt;/abbr-1&gt;&lt;abbr-2&gt;Agric. For. Meteorol.&lt;/abbr-2&gt;&lt;/periodical&gt;&lt;pages&gt;24-32&lt;/pages&gt;&lt;volume&gt;188&lt;/volume&gt;&lt;keywords&gt;&lt;keyword&gt;Orographic rainfall&lt;/keyword&gt;&lt;keyword&gt;Spatial analysis&lt;/keyword&gt;&lt;keyword&gt;Homogeneity test&lt;/keyword&gt;&lt;keyword&gt;Central highlands of Kenya&lt;/keyword&gt;&lt;/keywords&gt;&lt;dates&gt;&lt;year&gt;2014&lt;/year&gt;&lt;pub-dates&gt;&lt;date&gt;2014/05/15/&lt;/date&gt;&lt;/pub-dates&gt;&lt;/dates&gt;&lt;isbn&gt;0168-1923&lt;/isbn&gt;&lt;urls&gt;&lt;related-urls&gt;&lt;url&gt;http://www.sciencedirect.com/science/article/pii/S0168192313003304&lt;/url&gt;&lt;/related-urls&gt;&lt;/urls&gt;&lt;electronic-resource-num&gt;https://doi.org/10.1016/j.agrformet.2013.12.011&lt;/electronic-resource-num&gt;&lt;/record&gt;&lt;/Cite&gt;&lt;/EndNote&gt;</w:instrText>
      </w:r>
      <w:r>
        <w:fldChar w:fldCharType="separate"/>
      </w:r>
      <w:r>
        <w:rPr>
          <w:noProof/>
        </w:rPr>
        <w:t>(</w:t>
      </w:r>
      <w:hyperlink w:anchor="_ENREF_12" w:tooltip="Ngetich, 2014 #994" w:history="1">
        <w:r w:rsidR="000B3CB2">
          <w:rPr>
            <w:noProof/>
          </w:rPr>
          <w:t>modified from Ngetich et al., 2014</w:t>
        </w:r>
      </w:hyperlink>
      <w:r>
        <w:rPr>
          <w:noProof/>
        </w:rPr>
        <w:t>)</w:t>
      </w:r>
      <w:r>
        <w:fldChar w:fldCharType="end"/>
      </w:r>
      <w:r w:rsidRPr="0053187B">
        <w:t>.</w:t>
      </w:r>
      <w:r>
        <w:t xml:space="preserve"> The onset typically fall</w:t>
      </w:r>
      <w:r w:rsidR="00363DC2">
        <w:t>s</w:t>
      </w:r>
      <w:r>
        <w:t xml:space="preserve"> between February 15 and April 15 each year for the long rainy season, and between Sept</w:t>
      </w:r>
      <w:r w:rsidR="001B01E6">
        <w:t>ember</w:t>
      </w:r>
      <w:r>
        <w:t xml:space="preserve"> 15 and Nov</w:t>
      </w:r>
      <w:r w:rsidR="001B01E6">
        <w:t>ember</w:t>
      </w:r>
      <w:r>
        <w:t xml:space="preserve"> 15 for the short rainy season. </w:t>
      </w:r>
      <w:r>
        <w:rPr>
          <w:rFonts w:cs="Times New Roman"/>
          <w:bCs/>
          <w:szCs w:val="24"/>
        </w:rPr>
        <w:t>Periodic rains in July and August</w:t>
      </w:r>
      <w:r>
        <w:t xml:space="preserve"> are excluded from the seasonal duration calculation to avoid complications. Rainy season cessation is </w:t>
      </w:r>
      <w:r w:rsidRPr="0053187B">
        <w:t>defined</w:t>
      </w:r>
      <w:r>
        <w:t xml:space="preserve"> as the last day of precipitation of the season with less than 2 mm of </w:t>
      </w:r>
      <w:r w:rsidRPr="0053187B">
        <w:t>cumulat</w:t>
      </w:r>
      <w:r>
        <w:t>ive</w:t>
      </w:r>
      <w:r w:rsidRPr="0053187B">
        <w:t xml:space="preserve"> rainfall during </w:t>
      </w:r>
      <w:r>
        <w:t>the next 10</w:t>
      </w:r>
      <w:r w:rsidRPr="0053187B">
        <w:t xml:space="preserve"> successive days</w:t>
      </w:r>
      <w:r>
        <w:t xml:space="preserve">. The number of days between the cessation of a rainy season and the onset of the next rainy season is the length of a dry season. Because the rains are distributed unevenly throughout a calendar year, the duration of seasonal cycles also follows a bimodal distribution, with one long cycle at </w:t>
      </w:r>
      <w:r w:rsidRPr="0064763A">
        <w:rPr>
          <w:i/>
          <w:iCs/>
        </w:rPr>
        <w:t>ca.</w:t>
      </w:r>
      <w:r>
        <w:t xml:space="preserve"> 205 days (one long rainy season + one dry season), and one short cycle at </w:t>
      </w:r>
      <w:r w:rsidRPr="0064763A">
        <w:rPr>
          <w:i/>
          <w:iCs/>
        </w:rPr>
        <w:t>ca.</w:t>
      </w:r>
      <w:r>
        <w:t xml:space="preserve"> 165 days (one shor</w:t>
      </w:r>
      <w:r w:rsidR="00434408">
        <w:t>t</w:t>
      </w:r>
      <w:r>
        <w:t xml:space="preserve"> rainy season + one dry season</w:t>
      </w:r>
      <w:r w:rsidR="001B01E6">
        <w:t>;</w:t>
      </w:r>
      <w:r>
        <w:t xml:space="preserve"> Table 5 of the main manuscript</w:t>
      </w:r>
      <w:r w:rsidR="001B01E6">
        <w:t>;</w:t>
      </w:r>
      <w:r w:rsidR="005924FB">
        <w:t xml:space="preserve"> Supplementary S2</w:t>
      </w:r>
      <w:r>
        <w:t xml:space="preserve">). </w:t>
      </w:r>
    </w:p>
    <w:p w14:paraId="59EA3BB1" w14:textId="77777777" w:rsidR="007561F6" w:rsidRPr="00D80AC1" w:rsidRDefault="007561F6" w:rsidP="007561F6"/>
    <w:p w14:paraId="0A00DCEE" w14:textId="77777777" w:rsidR="007561F6" w:rsidRPr="00822135" w:rsidRDefault="007561F6" w:rsidP="007561F6">
      <w:pPr>
        <w:rPr>
          <w:b/>
        </w:rPr>
      </w:pPr>
      <w:r>
        <w:rPr>
          <w:b/>
        </w:rPr>
        <w:t xml:space="preserve">2. </w:t>
      </w:r>
      <w:r w:rsidRPr="00822135">
        <w:rPr>
          <w:b/>
        </w:rPr>
        <w:t>Stable isotope sampling, pretreatment</w:t>
      </w:r>
      <w:r w:rsidR="001B01E6">
        <w:rPr>
          <w:b/>
        </w:rPr>
        <w:t>,</w:t>
      </w:r>
      <w:r w:rsidRPr="00822135">
        <w:rPr>
          <w:b/>
        </w:rPr>
        <w:t xml:space="preserve"> and analysis methods</w:t>
      </w:r>
    </w:p>
    <w:p w14:paraId="5E2851F4" w14:textId="6B13B1FC" w:rsidR="007561F6" w:rsidRDefault="007561F6" w:rsidP="007561F6">
      <w:r>
        <w:tab/>
      </w:r>
      <w:r w:rsidRPr="00F56651">
        <w:t xml:space="preserve">Tooth enamel was sampled using a Dremel handheld drill with carbide (Brasseler) or diamond grit impregnated (Lasco) bits at low speed (~1000 RPM). Canine enamel was sampled </w:t>
      </w:r>
      <w:r w:rsidRPr="00F56651">
        <w:lastRenderedPageBreak/>
        <w:t xml:space="preserve">using a cylindrical bit. Molar enamel was sampled using a </w:t>
      </w:r>
      <w:r w:rsidR="00516FFE">
        <w:t>1 mm diameter spherical</w:t>
      </w:r>
      <w:r w:rsidRPr="00F56651">
        <w:t xml:space="preserve"> bit. </w:t>
      </w:r>
      <w:r>
        <w:t xml:space="preserve">Approximately </w:t>
      </w:r>
      <w:r w:rsidRPr="00F56651">
        <w:t>1 mm</w:t>
      </w:r>
      <w:r>
        <w:t>-</w:t>
      </w:r>
      <w:r w:rsidRPr="00F56651">
        <w:t xml:space="preserve">wide grooves were drilled perpendicular to the greater curvature of the canine using a cylindrical bit, at ~5 mm intervals starting from the cervix and ending close to the tip of the tooth. Because the canine enamel is very thin, great care was taken to avoid the underlying dentine. For the molar enamel, 1 </w:t>
      </w:r>
      <w:r w:rsidR="00533BD4" w:rsidRPr="00F56651">
        <w:t>m</w:t>
      </w:r>
      <w:r w:rsidR="00533BD4">
        <w:t>m-</w:t>
      </w:r>
      <w:r w:rsidRPr="00F56651">
        <w:t>wide grooves were drilled perpendicular to the growth axis of the tooth at ~2 mm intervals. The sampling depth was between 0.5</w:t>
      </w:r>
      <w:r w:rsidR="00691D5D">
        <w:t xml:space="preserve"> mm and </w:t>
      </w:r>
      <w:r w:rsidRPr="00F56651">
        <w:t>0.7 mm.</w:t>
      </w:r>
    </w:p>
    <w:p w14:paraId="4BDCE005" w14:textId="77777777" w:rsidR="007561F6" w:rsidRPr="00F56651" w:rsidRDefault="007561F6" w:rsidP="007561F6"/>
    <w:p w14:paraId="738B0C9C" w14:textId="36CC4BE3" w:rsidR="007561F6" w:rsidRDefault="007561F6" w:rsidP="007561F6">
      <w:r>
        <w:tab/>
      </w:r>
      <w:r w:rsidRPr="00F56651">
        <w:t>Collected sample masses were about 3-5 mg. Enamel powder was treated using 3</w:t>
      </w:r>
      <w:r>
        <w:t xml:space="preserve"> </w:t>
      </w:r>
      <w:r w:rsidRPr="00F56651">
        <w:t>% H</w:t>
      </w:r>
      <w:r w:rsidRPr="00F56651">
        <w:rPr>
          <w:vertAlign w:val="subscript"/>
        </w:rPr>
        <w:t>2</w:t>
      </w:r>
      <w:r w:rsidRPr="00F56651">
        <w:t>O</w:t>
      </w:r>
      <w:r w:rsidRPr="00F56651">
        <w:rPr>
          <w:vertAlign w:val="subscript"/>
        </w:rPr>
        <w:t>2</w:t>
      </w:r>
      <w:r w:rsidRPr="00F56651">
        <w:t xml:space="preserve"> for 30 minutes in 1.5 ml centrifuge tubes that were stirred every 10 minutes on a vortex mixer. After the reaction period, samples were centrifuged, and the supernatant was removed. Each sample was then rinsed three times with distilled water. The rinse procedure involved adding de-ionized (DI) water, stirring on the vortex mixer, then centrifuging the sample and removing the supernatant. Next, samples were treated with 0.1 M Na-acetate buffered acetic acid for 30 minutes, as above. Following three DI water rinses, they were dried in a 60°C oven overnight</w:t>
      </w:r>
      <w:r>
        <w:t>.</w:t>
      </w:r>
      <w:r w:rsidRPr="00F56651">
        <w:t xml:space="preserve"> At the SIRFER facility of the University of Utah, enamel powder samples were reacted with &gt;100</w:t>
      </w:r>
      <w:r w:rsidR="00BB6B16">
        <w:t xml:space="preserve"> </w:t>
      </w:r>
      <w:r w:rsidRPr="00F56651">
        <w:t>% H</w:t>
      </w:r>
      <w:r w:rsidRPr="00F56651">
        <w:rPr>
          <w:vertAlign w:val="subscript"/>
        </w:rPr>
        <w:t>3</w:t>
      </w:r>
      <w:r w:rsidRPr="00F56651">
        <w:t>PO</w:t>
      </w:r>
      <w:r w:rsidRPr="00F56651">
        <w:rPr>
          <w:vertAlign w:val="subscript"/>
        </w:rPr>
        <w:t>4</w:t>
      </w:r>
      <w:r>
        <w:t xml:space="preserve"> at 50</w:t>
      </w:r>
      <w:r w:rsidRPr="00F56651">
        <w:t xml:space="preserve">°C in individual glass vials </w:t>
      </w:r>
      <w:r w:rsidR="00530B4A">
        <w:t xml:space="preserve">for </w:t>
      </w:r>
      <w:r w:rsidR="00D70A09">
        <w:t>8</w:t>
      </w:r>
      <w:r w:rsidR="00530B4A">
        <w:t xml:space="preserve"> hours </w:t>
      </w:r>
      <w:r w:rsidRPr="00F56651">
        <w:t xml:space="preserve">using a Thermo Finnigan </w:t>
      </w:r>
      <w:proofErr w:type="spellStart"/>
      <w:r w:rsidRPr="00F56651">
        <w:t>GasBench</w:t>
      </w:r>
      <w:proofErr w:type="spellEnd"/>
      <w:r w:rsidRPr="00F56651">
        <w:t xml:space="preserve"> II. The resulting CO</w:t>
      </w:r>
      <w:r w:rsidRPr="00F56651">
        <w:rPr>
          <w:vertAlign w:val="subscript"/>
        </w:rPr>
        <w:t>2</w:t>
      </w:r>
      <w:r w:rsidRPr="00F56651">
        <w:t xml:space="preserve"> was extracted from the vials using a GC-TC PAL autosampler connected to a </w:t>
      </w:r>
      <w:proofErr w:type="spellStart"/>
      <w:r w:rsidRPr="00F56651">
        <w:t>Conflo</w:t>
      </w:r>
      <w:proofErr w:type="spellEnd"/>
      <w:r w:rsidRPr="00F56651">
        <w:t xml:space="preserve"> IV. </w:t>
      </w:r>
      <w:r w:rsidRPr="00F56651">
        <w:rPr>
          <w:vertAlign w:val="superscript"/>
        </w:rPr>
        <w:t>13</w:t>
      </w:r>
      <w:r w:rsidRPr="00F56651">
        <w:t>C/</w:t>
      </w:r>
      <w:r w:rsidRPr="00F56651">
        <w:rPr>
          <w:vertAlign w:val="superscript"/>
        </w:rPr>
        <w:t>12</w:t>
      </w:r>
      <w:r w:rsidRPr="00F56651">
        <w:t xml:space="preserve">C and </w:t>
      </w:r>
      <w:r w:rsidRPr="00F56651">
        <w:rPr>
          <w:vertAlign w:val="superscript"/>
        </w:rPr>
        <w:t>18</w:t>
      </w:r>
      <w:r w:rsidRPr="00F56651">
        <w:t>O/</w:t>
      </w:r>
      <w:r w:rsidRPr="00F56651">
        <w:rPr>
          <w:vertAlign w:val="superscript"/>
        </w:rPr>
        <w:t>16</w:t>
      </w:r>
      <w:r w:rsidRPr="00F56651">
        <w:t>O ratios of the CO</w:t>
      </w:r>
      <w:r w:rsidRPr="00F56651">
        <w:rPr>
          <w:vertAlign w:val="subscript"/>
        </w:rPr>
        <w:t>2</w:t>
      </w:r>
      <w:r w:rsidRPr="00F56651">
        <w:t xml:space="preserve"> were measured using a Thermo Finnigan MAT 253. Data were corrected with Carrara carbonate and internal laboratory carbonate standards. For δ</w:t>
      </w:r>
      <w:r w:rsidRPr="00F56651">
        <w:rPr>
          <w:vertAlign w:val="superscript"/>
        </w:rPr>
        <w:t>18</w:t>
      </w:r>
      <w:r w:rsidRPr="00F56651">
        <w:t>O, samples were corrected for the acid fractionation factor</w:t>
      </w:r>
      <w:r>
        <w:t xml:space="preserve"> (</w:t>
      </w:r>
      <w:r>
        <w:rPr>
          <w:rFonts w:cs="Times New Roman"/>
        </w:rPr>
        <w:t xml:space="preserve">α </w:t>
      </w:r>
      <w:r>
        <w:t xml:space="preserve">= </w:t>
      </w:r>
      <w:r w:rsidRPr="00AE3968">
        <w:t>1.00</w:t>
      </w:r>
      <w:r>
        <w:t>930, at 50</w:t>
      </w:r>
      <w:r>
        <w:rPr>
          <w:rFonts w:cs="Times New Roman"/>
        </w:rPr>
        <w:t>°</w:t>
      </w:r>
      <w:r>
        <w:t>C)</w:t>
      </w:r>
      <w:r w:rsidRPr="00F56651">
        <w:t xml:space="preserve"> that is dependent on reaction temperature </w:t>
      </w:r>
      <w:r w:rsidRPr="00F56651">
        <w:fldChar w:fldCharType="begin">
          <w:fldData xml:space="preserve">PEVuZE5vdGU+PENpdGU+PEF1dGhvcj5QYXNzZXk8L0F1dGhvcj48WWVhcj4yMDA3PC9ZZWFyPjxS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</w:fldData>
        </w:fldChar>
      </w:r>
      <w:r>
        <w:instrText xml:space="preserve"> ADDIN EN.CITE </w:instrText>
      </w:r>
      <w:r>
        <w:fldChar w:fldCharType="begin">
          <w:fldData xml:space="preserve">PEVuZE5vdGU+PENpdGU+PEF1dGhvcj5QYXNzZXk8L0F1dGhvcj48WWVhcj4yMDA3PC9ZZWFyPjxS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</w:fldData>
        </w:fldChar>
      </w:r>
      <w:r>
        <w:instrText xml:space="preserve"> ADDIN EN.CITE.DATA </w:instrText>
      </w:r>
      <w:r>
        <w:fldChar w:fldCharType="end"/>
      </w:r>
      <w:r w:rsidRPr="00F56651">
        <w:fldChar w:fldCharType="separate"/>
      </w:r>
      <w:r>
        <w:rPr>
          <w:noProof/>
        </w:rPr>
        <w:t>(</w:t>
      </w:r>
      <w:hyperlink w:anchor="_ENREF_14" w:tooltip="Passey, 2007 #280" w:history="1">
        <w:r w:rsidR="000B3CB2">
          <w:rPr>
            <w:noProof/>
          </w:rPr>
          <w:t>Passey et al., 2007</w:t>
        </w:r>
      </w:hyperlink>
      <w:r>
        <w:rPr>
          <w:noProof/>
        </w:rPr>
        <w:t xml:space="preserve">; </w:t>
      </w:r>
      <w:hyperlink w:anchor="_ENREF_19" w:tooltip="Swart, 1991 #959" w:history="1">
        <w:r w:rsidR="000B3CB2">
          <w:rPr>
            <w:noProof/>
          </w:rPr>
          <w:t>Swart et al., 1991</w:t>
        </w:r>
      </w:hyperlink>
      <w:r>
        <w:rPr>
          <w:noProof/>
        </w:rPr>
        <w:t>)</w:t>
      </w:r>
      <w:r w:rsidRPr="00F56651">
        <w:fldChar w:fldCharType="end"/>
      </w:r>
      <w:r w:rsidRPr="00F56651">
        <w:t>. Analytical precision was &lt; 0.2</w:t>
      </w:r>
      <w:r>
        <w:t xml:space="preserve"> </w:t>
      </w:r>
      <w:r w:rsidRPr="00F56651">
        <w:t>‰ for δ</w:t>
      </w:r>
      <w:r w:rsidRPr="00F56651">
        <w:rPr>
          <w:vertAlign w:val="superscript"/>
        </w:rPr>
        <w:t>13</w:t>
      </w:r>
      <w:r w:rsidRPr="00F56651">
        <w:t>C and &lt;</w:t>
      </w:r>
      <w:r w:rsidR="00BB6B16">
        <w:t xml:space="preserve"> </w:t>
      </w:r>
      <w:r w:rsidRPr="00F56651">
        <w:t>0.3</w:t>
      </w:r>
      <w:r>
        <w:t xml:space="preserve"> </w:t>
      </w:r>
      <w:r w:rsidRPr="00F56651">
        <w:t>‰ for δ</w:t>
      </w:r>
      <w:r w:rsidRPr="00F56651">
        <w:rPr>
          <w:vertAlign w:val="superscript"/>
        </w:rPr>
        <w:t>18</w:t>
      </w:r>
      <w:r w:rsidRPr="00F56651">
        <w:t>O</w:t>
      </w:r>
      <w:r>
        <w:t xml:space="preserve"> (Supplementary S2)</w:t>
      </w:r>
      <w:r w:rsidRPr="00F56651">
        <w:t>.</w:t>
      </w:r>
    </w:p>
    <w:p w14:paraId="386FB2FC" w14:textId="77777777" w:rsidR="007561F6" w:rsidRPr="00F56651" w:rsidRDefault="007561F6" w:rsidP="007561F6"/>
    <w:p w14:paraId="30324032" w14:textId="77777777" w:rsidR="007561F6" w:rsidRPr="00822135" w:rsidRDefault="007561F6" w:rsidP="007561F6">
      <w:pPr>
        <w:rPr>
          <w:b/>
        </w:rPr>
      </w:pPr>
      <w:r>
        <w:rPr>
          <w:b/>
        </w:rPr>
        <w:t xml:space="preserve">3. </w:t>
      </w:r>
      <w:r w:rsidRPr="00822135">
        <w:rPr>
          <w:b/>
        </w:rPr>
        <w:t>Methods for preparing thin sections</w:t>
      </w:r>
    </w:p>
    <w:p w14:paraId="12D57F0E" w14:textId="086F80EE" w:rsidR="007561F6" w:rsidRDefault="007561F6" w:rsidP="007561F6">
      <w:r>
        <w:tab/>
      </w:r>
      <w:r w:rsidRPr="00F56651">
        <w:t xml:space="preserve">The teeth were embedded </w:t>
      </w:r>
      <w:r>
        <w:t xml:space="preserve">in </w:t>
      </w:r>
      <w:r w:rsidRPr="00F56651">
        <w:t>transparent epoxy resin (</w:t>
      </w:r>
      <w:proofErr w:type="spellStart"/>
      <w:r w:rsidRPr="00F56651">
        <w:t>Presi</w:t>
      </w:r>
      <w:proofErr w:type="spellEnd"/>
      <w:r w:rsidRPr="00F56651">
        <w:t xml:space="preserve"> MA2+)</w:t>
      </w:r>
      <w:r>
        <w:t xml:space="preserve"> before being </w:t>
      </w:r>
      <w:r w:rsidRPr="00F56651">
        <w:t>cut with a precision saw (</w:t>
      </w:r>
      <w:bookmarkStart w:id="0" w:name="_Hlk19533662"/>
      <w:r w:rsidRPr="00F56651">
        <w:t>Buehler -</w:t>
      </w:r>
      <w:bookmarkEnd w:id="0"/>
      <w:r w:rsidRPr="00F56651">
        <w:t xml:space="preserve"> </w:t>
      </w:r>
      <w:proofErr w:type="spellStart"/>
      <w:r w:rsidRPr="00F56651">
        <w:t>Isomet</w:t>
      </w:r>
      <w:proofErr w:type="spellEnd"/>
      <w:r w:rsidRPr="00F56651">
        <w:t xml:space="preserve"> 5000)</w:t>
      </w:r>
      <w:r>
        <w:t xml:space="preserve">, and a </w:t>
      </w:r>
      <w:r w:rsidRPr="0011660E">
        <w:t xml:space="preserve">15 LC </w:t>
      </w:r>
      <w:proofErr w:type="spellStart"/>
      <w:r w:rsidRPr="0011660E">
        <w:t>Isomet</w:t>
      </w:r>
      <w:proofErr w:type="spellEnd"/>
      <w:r w:rsidRPr="0011660E">
        <w:t xml:space="preserve"> Diamond </w:t>
      </w:r>
      <w:proofErr w:type="spellStart"/>
      <w:r w:rsidRPr="0011660E">
        <w:t>Wafering</w:t>
      </w:r>
      <w:proofErr w:type="spellEnd"/>
      <w:r w:rsidRPr="0011660E">
        <w:t xml:space="preserve"> Blade (178 </w:t>
      </w:r>
      <w:r>
        <w:rPr>
          <w:rFonts w:cs="Times New Roman"/>
        </w:rPr>
        <w:t>×</w:t>
      </w:r>
      <w:r w:rsidRPr="0011660E">
        <w:t xml:space="preserve"> 0</w:t>
      </w:r>
      <w:r>
        <w:t>.</w:t>
      </w:r>
      <w:r w:rsidRPr="0011660E">
        <w:t>6 mm)</w:t>
      </w:r>
      <w:r>
        <w:t>.</w:t>
      </w:r>
      <w:r w:rsidRPr="00F56651">
        <w:t xml:space="preserve"> Upper third molars were cut </w:t>
      </w:r>
      <w:proofErr w:type="spellStart"/>
      <w:r>
        <w:t>axio</w:t>
      </w:r>
      <w:proofErr w:type="spellEnd"/>
      <w:r w:rsidR="00D97BEC">
        <w:t>-</w:t>
      </w:r>
      <w:proofErr w:type="spellStart"/>
      <w:r>
        <w:t>bucco</w:t>
      </w:r>
      <w:proofErr w:type="spellEnd"/>
      <w:r w:rsidR="00D97BEC">
        <w:t>-</w:t>
      </w:r>
      <w:r>
        <w:t>lingually</w:t>
      </w:r>
      <w:r w:rsidRPr="00F56651">
        <w:t xml:space="preserve"> through the second pair of main cusps for </w:t>
      </w:r>
      <w:r>
        <w:t>both the Souron1 and the NKU M3s</w:t>
      </w:r>
      <w:r w:rsidRPr="00F56651">
        <w:t xml:space="preserve">. </w:t>
      </w:r>
      <w:r>
        <w:t xml:space="preserve">Due to curvature, the Souron2 lower canine </w:t>
      </w:r>
      <w:r w:rsidRPr="00F56651">
        <w:t>w</w:t>
      </w:r>
      <w:r>
        <w:t>as</w:t>
      </w:r>
      <w:r w:rsidRPr="00F56651">
        <w:t xml:space="preserve"> cut transversely along a labio-lingual axis into four segments </w:t>
      </w:r>
      <w:r>
        <w:t>before</w:t>
      </w:r>
      <w:r w:rsidRPr="00F56651">
        <w:t xml:space="preserve"> each part was cut longitudinally along a </w:t>
      </w:r>
      <w:proofErr w:type="spellStart"/>
      <w:r w:rsidRPr="00F56651">
        <w:t>cervico</w:t>
      </w:r>
      <w:proofErr w:type="spellEnd"/>
      <w:r w:rsidRPr="00F56651">
        <w:t xml:space="preserve">-apical axis. </w:t>
      </w:r>
      <w:r w:rsidR="00561C3E">
        <w:t>A small amount of crown was lost due to the kerf</w:t>
      </w:r>
      <w:r w:rsidR="00E73CED">
        <w:t>.</w:t>
      </w:r>
      <w:r w:rsidR="00561C3E">
        <w:t xml:space="preserve"> </w:t>
      </w:r>
      <w:r w:rsidR="00E73CED">
        <w:t>W</w:t>
      </w:r>
      <w:r w:rsidR="00561C3E">
        <w:t xml:space="preserve">e estimate </w:t>
      </w:r>
      <w:r w:rsidR="00E73CED">
        <w:t>the kerf to b</w:t>
      </w:r>
      <w:r w:rsidR="00561C3E">
        <w:t xml:space="preserve">e slightly wider than the </w:t>
      </w:r>
      <w:proofErr w:type="spellStart"/>
      <w:r w:rsidR="00561C3E">
        <w:t>Isomet</w:t>
      </w:r>
      <w:proofErr w:type="spellEnd"/>
      <w:r w:rsidR="00561C3E">
        <w:t xml:space="preserve"> blade thickness (0.6 mm)</w:t>
      </w:r>
      <w:r w:rsidRPr="0011660E">
        <w:t xml:space="preserve"> </w:t>
      </w:r>
      <w:r w:rsidR="00561C3E">
        <w:t>due to blade</w:t>
      </w:r>
      <w:r w:rsidR="00561C3E" w:rsidRPr="0011660E">
        <w:t xml:space="preserve"> wobbling</w:t>
      </w:r>
      <w:r w:rsidR="00561C3E">
        <w:t xml:space="preserve"> during the cuts</w:t>
      </w:r>
      <w:r>
        <w:t xml:space="preserve">. The total amount of crown height/length that </w:t>
      </w:r>
      <w:r w:rsidR="00363DC2">
        <w:t>was</w:t>
      </w:r>
      <w:r>
        <w:t xml:space="preserve"> lost </w:t>
      </w:r>
      <w:r w:rsidR="00363DC2">
        <w:t xml:space="preserve">for </w:t>
      </w:r>
      <w:r>
        <w:t>each cut is estimated to be around 1 mm</w:t>
      </w:r>
      <w:r w:rsidR="00363DC2">
        <w:t>.</w:t>
      </w:r>
      <w:r>
        <w:t xml:space="preserve"> This has minimal effects on our measurements of enamel histology</w:t>
      </w:r>
      <w:r w:rsidR="0009193A">
        <w:t xml:space="preserve"> or timeline reconstruction</w:t>
      </w:r>
      <w:r>
        <w:t xml:space="preserve">. </w:t>
      </w:r>
    </w:p>
    <w:p w14:paraId="2377FB1A" w14:textId="11C4D9CF" w:rsidR="007561F6" w:rsidRDefault="007561F6" w:rsidP="007561F6">
      <w:r>
        <w:tab/>
      </w:r>
      <w:r w:rsidRPr="00F56651">
        <w:t xml:space="preserve">The cut surface of each </w:t>
      </w:r>
      <w:r>
        <w:t>block</w:t>
      </w:r>
      <w:r w:rsidRPr="00F56651">
        <w:t xml:space="preserve"> was </w:t>
      </w:r>
      <w:r>
        <w:t>ground</w:t>
      </w:r>
      <w:r w:rsidRPr="00F56651">
        <w:t xml:space="preserve"> using a </w:t>
      </w:r>
      <w:r>
        <w:t xml:space="preserve">rotary motorized polisher </w:t>
      </w:r>
      <w:r w:rsidRPr="00F56651">
        <w:t>(</w:t>
      </w:r>
      <w:proofErr w:type="spellStart"/>
      <w:r w:rsidRPr="00F56651">
        <w:t>Presi</w:t>
      </w:r>
      <w:proofErr w:type="spellEnd"/>
      <w:r w:rsidRPr="00F56651">
        <w:t xml:space="preserve"> - « </w:t>
      </w:r>
      <w:proofErr w:type="spellStart"/>
      <w:r w:rsidRPr="00F56651">
        <w:t>LeCube</w:t>
      </w:r>
      <w:proofErr w:type="spellEnd"/>
      <w:r w:rsidRPr="00F56651">
        <w:t xml:space="preserve"> ») with abrasive paper (</w:t>
      </w:r>
      <w:proofErr w:type="spellStart"/>
      <w:r w:rsidRPr="00F56651">
        <w:t>Presi</w:t>
      </w:r>
      <w:proofErr w:type="spellEnd"/>
      <w:r w:rsidRPr="00F56651">
        <w:t xml:space="preserve"> - Reflex NAC Type M P240), </w:t>
      </w:r>
      <w:r>
        <w:t>and then polished with diamond suspension liquid with a 54 µm particle diameter</w:t>
      </w:r>
      <w:r w:rsidRPr="00F56651">
        <w:t xml:space="preserve"> (</w:t>
      </w:r>
      <w:proofErr w:type="spellStart"/>
      <w:r w:rsidRPr="00F56651">
        <w:t>Presi</w:t>
      </w:r>
      <w:proofErr w:type="spellEnd"/>
      <w:r w:rsidRPr="00F56651">
        <w:t xml:space="preserve"> - IMAX R 54µ)</w:t>
      </w:r>
      <w:r>
        <w:t>,</w:t>
      </w:r>
      <w:r w:rsidRPr="00F56651">
        <w:t xml:space="preserve"> </w:t>
      </w:r>
      <w:r>
        <w:t>and</w:t>
      </w:r>
      <w:r w:rsidRPr="00F56651">
        <w:t xml:space="preserve"> 18 </w:t>
      </w:r>
      <w:r>
        <w:t>µm</w:t>
      </w:r>
      <w:r w:rsidRPr="00F56651">
        <w:t xml:space="preserve"> particle</w:t>
      </w:r>
      <w:r>
        <w:t xml:space="preserve"> diameter</w:t>
      </w:r>
      <w:r w:rsidRPr="00F56651">
        <w:t xml:space="preserve"> (</w:t>
      </w:r>
      <w:proofErr w:type="spellStart"/>
      <w:r w:rsidRPr="00F56651">
        <w:t>Presi</w:t>
      </w:r>
      <w:proofErr w:type="spellEnd"/>
      <w:r w:rsidRPr="00F56651">
        <w:t xml:space="preserve"> - IMAX R 18µ).</w:t>
      </w:r>
      <w:r>
        <w:t xml:space="preserve"> </w:t>
      </w:r>
      <w:r w:rsidRPr="00F56651">
        <w:t xml:space="preserve">The </w:t>
      </w:r>
      <w:r>
        <w:t>polished</w:t>
      </w:r>
      <w:r w:rsidRPr="00F56651">
        <w:t xml:space="preserve"> surface of each section was mounted onto a glass slide (26 x 76 mm or 30 x 45 mm, depending on the size of the sample). The samples were </w:t>
      </w:r>
      <w:r>
        <w:t>affixed</w:t>
      </w:r>
      <w:r w:rsidRPr="00F56651">
        <w:t xml:space="preserve"> to the slide with epoxy resin (</w:t>
      </w:r>
      <w:proofErr w:type="spellStart"/>
      <w:r w:rsidRPr="00F56651">
        <w:t>Escil</w:t>
      </w:r>
      <w:proofErr w:type="spellEnd"/>
      <w:r w:rsidRPr="00F56651">
        <w:t xml:space="preserve"> - </w:t>
      </w:r>
      <w:proofErr w:type="spellStart"/>
      <w:r w:rsidRPr="00F56651">
        <w:t>Geofix</w:t>
      </w:r>
      <w:proofErr w:type="spellEnd"/>
      <w:r w:rsidRPr="00F56651">
        <w:t>) using a heating press (</w:t>
      </w:r>
      <w:proofErr w:type="spellStart"/>
      <w:r w:rsidRPr="00F56651">
        <w:t>GBrot</w:t>
      </w:r>
      <w:proofErr w:type="spellEnd"/>
      <w:r w:rsidRPr="00F56651">
        <w:t xml:space="preserve"> - Presse 1.04.02). The samples and glass slides were first heated to 65°C and then the </w:t>
      </w:r>
      <w:r>
        <w:t>resin</w:t>
      </w:r>
      <w:r w:rsidRPr="00F56651">
        <w:t xml:space="preserve"> was applied to the glass slide</w:t>
      </w:r>
      <w:r>
        <w:t>.</w:t>
      </w:r>
      <w:r w:rsidRPr="00F56651">
        <w:t xml:space="preserve"> </w:t>
      </w:r>
      <w:r>
        <w:t>T</w:t>
      </w:r>
      <w:r w:rsidRPr="00F56651">
        <w:t xml:space="preserve">he </w:t>
      </w:r>
      <w:r>
        <w:t>polished</w:t>
      </w:r>
      <w:r w:rsidRPr="00F56651">
        <w:t xml:space="preserve"> surface of the sample was gently placed onto the </w:t>
      </w:r>
      <w:r>
        <w:t>resin before being cured</w:t>
      </w:r>
      <w:r w:rsidRPr="00F56651">
        <w:t xml:space="preserve"> at 65°C</w:t>
      </w:r>
      <w:r>
        <w:t xml:space="preserve"> </w:t>
      </w:r>
      <w:r w:rsidRPr="00F56651">
        <w:t xml:space="preserve">for one hour. </w:t>
      </w:r>
      <w:r>
        <w:t xml:space="preserve">The mounted blocks were then sectioned to a thickness of about </w:t>
      </w:r>
      <w:r w:rsidRPr="00F56651">
        <w:t xml:space="preserve">500 </w:t>
      </w:r>
      <w:r w:rsidR="00337384">
        <w:t xml:space="preserve">µm </w:t>
      </w:r>
      <w:r>
        <w:t>to</w:t>
      </w:r>
      <w:r w:rsidRPr="00F56651">
        <w:t xml:space="preserve"> 800 </w:t>
      </w:r>
      <w:r>
        <w:t xml:space="preserve">µm before being ground to a final thickness of about 100 µm. </w:t>
      </w:r>
      <w:r w:rsidRPr="00F56651">
        <w:t xml:space="preserve">To obtain the best </w:t>
      </w:r>
      <w:r w:rsidRPr="00F56651">
        <w:lastRenderedPageBreak/>
        <w:t xml:space="preserve">surface quality with fewest possible defects, </w:t>
      </w:r>
      <w:r>
        <w:t xml:space="preserve">sections were </w:t>
      </w:r>
      <w:r w:rsidRPr="00F56651">
        <w:t>polished</w:t>
      </w:r>
      <w:r>
        <w:t xml:space="preserve"> using</w:t>
      </w:r>
      <w:r w:rsidRPr="00F56651">
        <w:t xml:space="preserve"> 9</w:t>
      </w:r>
      <w:r w:rsidR="00BB6B16" w:rsidRPr="00BB6B16">
        <w:t xml:space="preserve"> </w:t>
      </w:r>
      <w:r w:rsidR="00BB6B16">
        <w:t>µm</w:t>
      </w:r>
      <w:r>
        <w:t>, 3</w:t>
      </w:r>
      <w:r w:rsidR="00BB6B16" w:rsidRPr="00BB6B16">
        <w:t xml:space="preserve"> </w:t>
      </w:r>
      <w:r w:rsidR="00BB6B16">
        <w:t>µm</w:t>
      </w:r>
      <w:r>
        <w:t>, and finally 1</w:t>
      </w:r>
      <w:r w:rsidRPr="00F56651">
        <w:t xml:space="preserve"> </w:t>
      </w:r>
      <w:r>
        <w:t>µm</w:t>
      </w:r>
      <w:r w:rsidRPr="00F56651">
        <w:t xml:space="preserve"> diamond suspension</w:t>
      </w:r>
      <w:r>
        <w:t xml:space="preserve"> liquid.</w:t>
      </w:r>
    </w:p>
    <w:p w14:paraId="4CE8E511" w14:textId="77777777" w:rsidR="007561F6" w:rsidRDefault="007561F6" w:rsidP="007561F6"/>
    <w:p w14:paraId="1DA8A81A" w14:textId="375ECF80" w:rsidR="007561F6" w:rsidRPr="00822135" w:rsidRDefault="007561F6" w:rsidP="007561F6">
      <w:pPr>
        <w:rPr>
          <w:b/>
        </w:rPr>
      </w:pPr>
      <w:r>
        <w:rPr>
          <w:b/>
        </w:rPr>
        <w:t xml:space="preserve">4. </w:t>
      </w:r>
      <w:r w:rsidR="00C94160">
        <w:rPr>
          <w:b/>
        </w:rPr>
        <w:t>T</w:t>
      </w:r>
      <w:r w:rsidRPr="00822135">
        <w:rPr>
          <w:b/>
        </w:rPr>
        <w:t>he possibility of contamination</w:t>
      </w:r>
    </w:p>
    <w:p w14:paraId="6A45A8A3" w14:textId="5A7BDE75" w:rsidR="007561F6" w:rsidRDefault="007561F6" w:rsidP="007561F6">
      <w:pPr>
        <w:rPr>
          <w:rFonts w:cs="Times New Roman"/>
        </w:rPr>
      </w:pPr>
      <w:r>
        <w:rPr>
          <w:rFonts w:cs="Times New Roman"/>
        </w:rPr>
        <w:tab/>
      </w:r>
      <w:r w:rsidRPr="00F56651">
        <w:rPr>
          <w:rFonts w:cs="Times New Roman"/>
        </w:rPr>
        <w:t xml:space="preserve">Because canine enamel is very thin, it is possible to introduce dentine into the enamel sample as a major contaminant. </w:t>
      </w:r>
      <w:r>
        <w:rPr>
          <w:rFonts w:cs="Times New Roman"/>
        </w:rPr>
        <w:t>In addition</w:t>
      </w:r>
      <w:r w:rsidRPr="00F56651">
        <w:rPr>
          <w:rFonts w:cs="Times New Roman"/>
        </w:rPr>
        <w:t xml:space="preserve">, molar enamel has </w:t>
      </w:r>
      <w:r>
        <w:rPr>
          <w:rFonts w:cs="Times New Roman"/>
        </w:rPr>
        <w:t xml:space="preserve">a thick coronal </w:t>
      </w:r>
      <w:r w:rsidRPr="00F56651">
        <w:rPr>
          <w:rFonts w:cs="Times New Roman"/>
        </w:rPr>
        <w:t>cementum cover externally</w:t>
      </w:r>
      <w:r>
        <w:rPr>
          <w:rFonts w:cs="Times New Roman"/>
        </w:rPr>
        <w:t xml:space="preserve">. This cementum layer is formed after enamel is fully mineralized, but the rugose outer enamel surface of the molar intersects with cementum, giving it a “rough” appearance. This phenomenon is also observed </w:t>
      </w:r>
      <w:r>
        <w:t>in hypsodont equid teeth with coronal cement</w:t>
      </w:r>
      <w:r w:rsidR="00EA30D2">
        <w:t>um</w:t>
      </w:r>
      <w:r>
        <w:t xml:space="preserve">, in which the rugose outer enamel surface is created via resorption of fully mineralized enamel by odontoclasts </w:t>
      </w:r>
      <w:r>
        <w:fldChar w:fldCharType="begin"/>
      </w:r>
      <w:r w:rsidR="0032615F">
        <w:instrText xml:space="preserve"> ADDIN EN.CITE &lt;EndNote&gt;&lt;Cite&gt;&lt;Author&gt;Sahara&lt;/Author&gt;&lt;Year&gt;2014&lt;/Year&gt;&lt;RecNum&gt;902&lt;/RecNum&gt;&lt;DisplayText&gt;(Sahara, 2014)&lt;/DisplayText&gt;&lt;record&gt;&lt;rec-number&gt;902&lt;/rec-number&gt;&lt;foreign-keys&gt;&lt;key app="EN" db-id="tfdrzwraavd093eezvk5z5ehd2xvxse2wfar" timestamp="1574284949"&gt;902&lt;/key&gt;&lt;/foreign-keys&gt;&lt;ref-type name="Journal Article"&gt;17&lt;/ref-type&gt;&lt;contributors&gt;&lt;authors&gt;&lt;author&gt;Sahara, Noriyuki&lt;/author&gt;&lt;/authors&gt;&lt;/contributors&gt;&lt;titles&gt;&lt;title&gt;Development of coronal cementum in hypsodont horse cheek teeth&lt;/title&gt;&lt;secondary-title&gt;The Anatomical Record&lt;/secondary-title&gt;&lt;/titles&gt;&lt;periodical&gt;&lt;full-title&gt;The Anatomical Record&lt;/full-title&gt;&lt;abbr-1&gt;Anat Rec&lt;/abbr-1&gt;&lt;abbr-2&gt;Anat. Rec.&lt;/abbr-2&gt;&lt;/periodical&gt;&lt;pages&gt;716-730&lt;/pages&gt;&lt;volume&gt;297&lt;/volume&gt;&lt;number&gt;4&lt;/number&gt;&lt;dates&gt;&lt;year&gt;2014&lt;/year&gt;&lt;/dates&gt;&lt;isbn&gt;1932-8486&lt;/isbn&gt;&lt;urls&gt;&lt;related-urls&gt;&lt;url&gt;https://anatomypubs.onlinelibrary.wiley.com/doi/abs/10.1002/ar.22880&lt;/url&gt;&lt;/related-urls&gt;&lt;/urls&gt;&lt;electronic-resource-num&gt;10.1002/ar.22880&lt;/electronic-resource-num&gt;&lt;/record&gt;&lt;/Cite&gt;&lt;/EndNote&gt;</w:instrText>
      </w:r>
      <w:r>
        <w:fldChar w:fldCharType="separate"/>
      </w:r>
      <w:r>
        <w:rPr>
          <w:noProof/>
        </w:rPr>
        <w:t>(</w:t>
      </w:r>
      <w:hyperlink w:anchor="_ENREF_18" w:tooltip="Sahara, 2014 #902" w:history="1">
        <w:r w:rsidR="000B3CB2">
          <w:rPr>
            <w:noProof/>
          </w:rPr>
          <w:t>Sahara, 2014</w:t>
        </w:r>
      </w:hyperlink>
      <w:r>
        <w:rPr>
          <w:noProof/>
        </w:rPr>
        <w:t>)</w:t>
      </w:r>
      <w:r>
        <w:fldChar w:fldCharType="end"/>
      </w:r>
      <w:r>
        <w:t>.</w:t>
      </w:r>
      <w:r w:rsidRPr="00F56651">
        <w:rPr>
          <w:rFonts w:cs="Times New Roman"/>
        </w:rPr>
        <w:t xml:space="preserve"> </w:t>
      </w:r>
      <w:r>
        <w:rPr>
          <w:rFonts w:cs="Times New Roman"/>
        </w:rPr>
        <w:t>While the outer 0.2 mm of molar enamel was carefully abraded using a low speed drill before sampling, it is possible that some “pockets” of cementum</w:t>
      </w:r>
      <w:r w:rsidRPr="00F56651">
        <w:rPr>
          <w:rFonts w:cs="Times New Roman"/>
        </w:rPr>
        <w:t xml:space="preserve"> could </w:t>
      </w:r>
      <w:r>
        <w:rPr>
          <w:rFonts w:cs="Times New Roman"/>
        </w:rPr>
        <w:t>still</w:t>
      </w:r>
      <w:r w:rsidRPr="00F56651">
        <w:rPr>
          <w:rFonts w:cs="Times New Roman"/>
        </w:rPr>
        <w:t xml:space="preserve"> be a</w:t>
      </w:r>
      <w:r>
        <w:rPr>
          <w:rFonts w:cs="Times New Roman"/>
        </w:rPr>
        <w:t xml:space="preserve"> </w:t>
      </w:r>
      <w:r w:rsidRPr="00F56651">
        <w:rPr>
          <w:rFonts w:cs="Times New Roman"/>
        </w:rPr>
        <w:t xml:space="preserve">source of contamination. </w:t>
      </w:r>
      <w:r w:rsidRPr="00F56651">
        <w:rPr>
          <w:rFonts w:cs="Times New Roman"/>
          <w:szCs w:val="24"/>
        </w:rPr>
        <w:t xml:space="preserve">To investigate possibility of contamination, </w:t>
      </w:r>
      <w:r>
        <w:rPr>
          <w:rFonts w:cs="Times New Roman"/>
          <w:szCs w:val="24"/>
        </w:rPr>
        <w:t>we bulk sampled MPL1 specimen for 1) canine dentine, 2) molar dentine</w:t>
      </w:r>
      <w:r w:rsidR="00337384">
        <w:rPr>
          <w:rFonts w:cs="Times New Roman"/>
          <w:szCs w:val="24"/>
        </w:rPr>
        <w:t>,</w:t>
      </w:r>
      <w:r>
        <w:rPr>
          <w:rFonts w:cs="Times New Roman"/>
          <w:szCs w:val="24"/>
        </w:rPr>
        <w:t xml:space="preserve"> and 3) molar cementum, for a total of three samples. We divided each sample into two subsamples, each measured for </w:t>
      </w:r>
      <w:r w:rsidRPr="004826A7">
        <w:rPr>
          <w:rFonts w:cs="Times New Roman"/>
          <w:szCs w:val="24"/>
        </w:rPr>
        <w:t>δ</w:t>
      </w:r>
      <w:r w:rsidRPr="004826A7">
        <w:rPr>
          <w:rFonts w:cs="Times New Roman"/>
          <w:szCs w:val="24"/>
          <w:vertAlign w:val="superscript"/>
        </w:rPr>
        <w:t>13</w:t>
      </w:r>
      <w:r w:rsidRPr="004826A7">
        <w:rPr>
          <w:rFonts w:cs="Times New Roman"/>
        </w:rPr>
        <w:t>C</w:t>
      </w:r>
      <w:r>
        <w:rPr>
          <w:rFonts w:cs="Times New Roman"/>
          <w:szCs w:val="24"/>
        </w:rPr>
        <w:t xml:space="preserve"> with pretreatment (as in Supplementary S1.1) and without (untreated), which gave us six measurements in total.</w:t>
      </w:r>
      <w:r w:rsidRPr="00F56651">
        <w:rPr>
          <w:rFonts w:cs="Times New Roman"/>
          <w:szCs w:val="24"/>
        </w:rPr>
        <w:t xml:space="preserve"> </w:t>
      </w:r>
      <w:r w:rsidRPr="00F56651">
        <w:rPr>
          <w:rFonts w:cs="Times New Roman"/>
        </w:rPr>
        <w:t xml:space="preserve">The measured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w:t>
      </w:r>
      <w:r w:rsidR="00337384">
        <w:rPr>
          <w:rFonts w:cs="Times New Roman"/>
        </w:rPr>
        <w:t xml:space="preserve">values </w:t>
      </w:r>
      <w:r w:rsidRPr="00F56651">
        <w:rPr>
          <w:rFonts w:cs="Times New Roman"/>
        </w:rPr>
        <w:t xml:space="preserve">for MPL1 canine </w:t>
      </w:r>
      <w:r w:rsidRPr="00F56651">
        <w:rPr>
          <w:rFonts w:cs="Times New Roman"/>
          <w:szCs w:val="24"/>
        </w:rPr>
        <w:t xml:space="preserve">dentine were </w:t>
      </w:r>
      <w:r w:rsidR="00F748E6">
        <w:rPr>
          <w:rFonts w:cs="Times New Roman"/>
        </w:rPr>
        <w:t>−</w:t>
      </w:r>
      <w:r w:rsidRPr="00F56651">
        <w:rPr>
          <w:rFonts w:cs="Times New Roman"/>
          <w:szCs w:val="24"/>
        </w:rPr>
        <w:t xml:space="preserve">1.5 </w:t>
      </w:r>
      <w:r w:rsidRPr="00F56651">
        <w:rPr>
          <w:rFonts w:cs="Times New Roman"/>
        </w:rPr>
        <w:t xml:space="preserve">‰ treated and </w:t>
      </w:r>
      <w:r w:rsidR="00337384">
        <w:rPr>
          <w:rFonts w:cs="Times New Roman"/>
        </w:rPr>
        <w:t>−</w:t>
      </w:r>
      <w:r w:rsidRPr="00F56651">
        <w:rPr>
          <w:rFonts w:eastAsia="Times New Roman" w:cs="Times New Roman"/>
          <w:color w:val="000000"/>
        </w:rPr>
        <w:t xml:space="preserve">2.0 </w:t>
      </w:r>
      <w:r w:rsidRPr="00F56651">
        <w:rPr>
          <w:rFonts w:cs="Times New Roman"/>
        </w:rPr>
        <w:t>‰ untreated</w:t>
      </w:r>
      <w:r w:rsidRPr="00F56651">
        <w:rPr>
          <w:rFonts w:eastAsia="Times New Roman" w:cs="Times New Roman"/>
          <w:color w:val="000000"/>
        </w:rPr>
        <w:t xml:space="preserve">.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eastAsia="Times New Roman" w:cs="Times New Roman"/>
          <w:color w:val="000000"/>
        </w:rPr>
        <w:t xml:space="preserve"> </w:t>
      </w:r>
      <w:r w:rsidR="00337384">
        <w:rPr>
          <w:rFonts w:eastAsia="Times New Roman" w:cs="Times New Roman"/>
          <w:color w:val="000000"/>
        </w:rPr>
        <w:t xml:space="preserve">values </w:t>
      </w:r>
      <w:r w:rsidRPr="00F56651">
        <w:rPr>
          <w:rFonts w:eastAsia="Times New Roman" w:cs="Times New Roman"/>
          <w:color w:val="000000"/>
        </w:rPr>
        <w:t xml:space="preserve">for MPL1 molar dentin were </w:t>
      </w:r>
      <w:r w:rsidR="00F748E6">
        <w:rPr>
          <w:rFonts w:cs="Times New Roman"/>
        </w:rPr>
        <w:t>−</w:t>
      </w:r>
      <w:r w:rsidRPr="00F56651">
        <w:rPr>
          <w:rFonts w:eastAsia="Times New Roman" w:cs="Times New Roman"/>
          <w:color w:val="000000"/>
        </w:rPr>
        <w:t xml:space="preserve">1.1 </w:t>
      </w:r>
      <w:r w:rsidRPr="00F56651">
        <w:rPr>
          <w:rFonts w:cs="Times New Roman"/>
        </w:rPr>
        <w:t xml:space="preserve">‰ treated and </w:t>
      </w:r>
      <w:r w:rsidR="00F748E6">
        <w:rPr>
          <w:rFonts w:cs="Times New Roman"/>
        </w:rPr>
        <w:t>−</w:t>
      </w:r>
      <w:r w:rsidRPr="00F56651">
        <w:rPr>
          <w:rFonts w:cs="Times New Roman"/>
        </w:rPr>
        <w:t xml:space="preserve">2.3 ‰ untreated.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w:t>
      </w:r>
      <w:r w:rsidR="00337384">
        <w:rPr>
          <w:rFonts w:cs="Times New Roman"/>
        </w:rPr>
        <w:t xml:space="preserve">values </w:t>
      </w:r>
      <w:r w:rsidRPr="00F56651">
        <w:rPr>
          <w:rFonts w:cs="Times New Roman"/>
        </w:rPr>
        <w:t xml:space="preserve">for </w:t>
      </w:r>
      <w:r w:rsidRPr="00F56651">
        <w:rPr>
          <w:rFonts w:eastAsia="Times New Roman" w:cs="Times New Roman"/>
          <w:color w:val="000000"/>
        </w:rPr>
        <w:t xml:space="preserve">MPL1 molar cementum were </w:t>
      </w:r>
      <w:r w:rsidR="00F748E6">
        <w:rPr>
          <w:rFonts w:cs="Times New Roman"/>
        </w:rPr>
        <w:t>−</w:t>
      </w:r>
      <w:r w:rsidRPr="00F56651">
        <w:rPr>
          <w:rFonts w:eastAsia="Times New Roman" w:cs="Times New Roman"/>
          <w:color w:val="000000"/>
        </w:rPr>
        <w:t xml:space="preserve">2.6 </w:t>
      </w:r>
      <w:r w:rsidRPr="00F56651">
        <w:rPr>
          <w:rFonts w:cs="Times New Roman"/>
        </w:rPr>
        <w:t xml:space="preserve">‰ treated, </w:t>
      </w:r>
      <w:r w:rsidRPr="00F56651">
        <w:rPr>
          <w:rFonts w:eastAsia="Times New Roman" w:cs="Times New Roman"/>
          <w:color w:val="000000"/>
        </w:rPr>
        <w:t xml:space="preserve">and </w:t>
      </w:r>
      <w:r w:rsidR="00F748E6">
        <w:rPr>
          <w:rFonts w:cs="Times New Roman"/>
        </w:rPr>
        <w:t>−</w:t>
      </w:r>
      <w:r w:rsidRPr="00F56651">
        <w:rPr>
          <w:rFonts w:eastAsia="Times New Roman" w:cs="Times New Roman"/>
          <w:color w:val="000000"/>
        </w:rPr>
        <w:t xml:space="preserve">2.9 </w:t>
      </w:r>
      <w:r w:rsidRPr="00F56651">
        <w:rPr>
          <w:rFonts w:cs="Times New Roman"/>
        </w:rPr>
        <w:t>‰ untreated</w:t>
      </w:r>
      <w:r>
        <w:rPr>
          <w:rFonts w:cs="Times New Roman"/>
        </w:rPr>
        <w:t xml:space="preserve"> (Supplementary S2)</w:t>
      </w:r>
      <w:r w:rsidRPr="00F56651">
        <w:rPr>
          <w:rFonts w:cs="Times New Roman"/>
        </w:rPr>
        <w:t>.</w:t>
      </w:r>
    </w:p>
    <w:p w14:paraId="0D636217" w14:textId="77777777" w:rsidR="007561F6" w:rsidRPr="00F56651" w:rsidRDefault="007561F6" w:rsidP="007561F6">
      <w:pPr>
        <w:rPr>
          <w:rFonts w:cs="Times New Roman"/>
        </w:rPr>
      </w:pPr>
    </w:p>
    <w:p w14:paraId="38B6BCE9" w14:textId="5F55DCED" w:rsidR="007561F6" w:rsidRDefault="007561F6" w:rsidP="007561F6">
      <w:pPr>
        <w:rPr>
          <w:rFonts w:cs="Times New Roman"/>
        </w:rPr>
      </w:pPr>
      <w:r>
        <w:rPr>
          <w:rFonts w:cs="Times New Roman"/>
        </w:rPr>
        <w:tab/>
      </w:r>
      <w:r w:rsidRPr="00F56651">
        <w:rPr>
          <w:rFonts w:cs="Times New Roman"/>
        </w:rPr>
        <w:t xml:space="preserve">The principle of mass balance is applied in a </w:t>
      </w:r>
      <w:r>
        <w:rPr>
          <w:rFonts w:cs="Times New Roman"/>
        </w:rPr>
        <w:t xml:space="preserve">potentially </w:t>
      </w:r>
      <w:r w:rsidRPr="00F56651">
        <w:rPr>
          <w:rFonts w:cs="Times New Roman"/>
        </w:rPr>
        <w:t>contaminated sample, which is fundamentally a mixing process.</w:t>
      </w:r>
      <w:r>
        <w:rPr>
          <w:rFonts w:cs="Times New Roman"/>
        </w:rPr>
        <w:t xml:space="preserve"> </w:t>
      </w:r>
      <w:r w:rsidRPr="00F56651">
        <w:rPr>
          <w:rFonts w:cs="Times New Roman"/>
        </w:rPr>
        <w:t xml:space="preserve">A mixed sample can only have isotope values between the two </w:t>
      </w:r>
      <w:r w:rsidRPr="00F56651">
        <w:rPr>
          <w:rFonts w:cs="Times New Roman"/>
        </w:rPr>
        <w:lastRenderedPageBreak/>
        <w:t>endmember value</w:t>
      </w:r>
      <w:r>
        <w:rPr>
          <w:rFonts w:cs="Times New Roman"/>
        </w:rPr>
        <w:t>s</w:t>
      </w:r>
      <w:r w:rsidRPr="00F56651">
        <w:rPr>
          <w:rFonts w:cs="Times New Roman"/>
        </w:rPr>
        <w:t xml:space="preserve">. In our case, the canine enamel has the highest value and the molar cementum has the lowest value. </w:t>
      </w:r>
      <w:r>
        <w:rPr>
          <w:rFonts w:cs="Times New Roman"/>
        </w:rPr>
        <w:t>W</w:t>
      </w:r>
      <w:r w:rsidRPr="00F56651">
        <w:rPr>
          <w:rFonts w:cs="Times New Roman"/>
        </w:rPr>
        <w:t>e consider these as our endmember values</w:t>
      </w:r>
      <w:r>
        <w:rPr>
          <w:rFonts w:cs="Times New Roman"/>
        </w:rPr>
        <w:t xml:space="preserve">, which does not rule out the possibility of canine being contaminated by dentine, but that would only make the theoretical pure canine enamel at a higher </w:t>
      </w:r>
      <w:r w:rsidRPr="004826A7">
        <w:rPr>
          <w:rFonts w:cs="Times New Roman"/>
          <w:szCs w:val="24"/>
        </w:rPr>
        <w:t>δ</w:t>
      </w:r>
      <w:r w:rsidRPr="004826A7">
        <w:rPr>
          <w:rFonts w:cs="Times New Roman"/>
          <w:szCs w:val="24"/>
          <w:vertAlign w:val="superscript"/>
        </w:rPr>
        <w:t>13</w:t>
      </w:r>
      <w:r w:rsidRPr="004826A7">
        <w:rPr>
          <w:rFonts w:cs="Times New Roman"/>
        </w:rPr>
        <w:t>C</w:t>
      </w:r>
      <w:r>
        <w:rPr>
          <w:rFonts w:cs="Times New Roman"/>
        </w:rPr>
        <w:t xml:space="preserve"> value, which increases the difference between canine and molar enamel </w:t>
      </w:r>
      <w:r w:rsidRPr="004826A7">
        <w:rPr>
          <w:rFonts w:cs="Times New Roman"/>
          <w:szCs w:val="24"/>
        </w:rPr>
        <w:t>δ</w:t>
      </w:r>
      <w:r w:rsidRPr="004826A7">
        <w:rPr>
          <w:rFonts w:cs="Times New Roman"/>
          <w:szCs w:val="24"/>
          <w:vertAlign w:val="superscript"/>
        </w:rPr>
        <w:t>13</w:t>
      </w:r>
      <w:r w:rsidRPr="004826A7">
        <w:rPr>
          <w:rFonts w:cs="Times New Roman"/>
        </w:rPr>
        <w:t>C</w:t>
      </w:r>
      <w:r>
        <w:rPr>
          <w:rFonts w:cs="Times New Roman"/>
        </w:rPr>
        <w:t xml:space="preserve"> values. </w:t>
      </w:r>
      <w:r w:rsidRPr="00F56651">
        <w:rPr>
          <w:rFonts w:cs="Times New Roman"/>
        </w:rPr>
        <w:t xml:space="preserve">If we consider the possibility that molar enamel is contaminated, then the amount of contaminant </w:t>
      </w:r>
      <w:r>
        <w:rPr>
          <w:rFonts w:cs="Times New Roman"/>
        </w:rPr>
        <w:t xml:space="preserve">(cementum) that is </w:t>
      </w:r>
      <w:r w:rsidRPr="00F56651">
        <w:rPr>
          <w:rFonts w:cs="Times New Roman"/>
        </w:rPr>
        <w:t xml:space="preserve">needed to achieve the measured difference </w:t>
      </w:r>
      <w:r>
        <w:rPr>
          <w:rFonts w:cs="Times New Roman"/>
        </w:rPr>
        <w:t xml:space="preserve">(~2 </w:t>
      </w:r>
      <w:r w:rsidRPr="00F56651">
        <w:rPr>
          <w:rFonts w:cs="Times New Roman"/>
        </w:rPr>
        <w:t>‰</w:t>
      </w:r>
      <w:r>
        <w:rPr>
          <w:rFonts w:cs="Times New Roman"/>
        </w:rPr>
        <w:t xml:space="preserve">) </w:t>
      </w:r>
      <w:r w:rsidRPr="00F56651">
        <w:rPr>
          <w:rFonts w:cs="Times New Roman"/>
        </w:rPr>
        <w:t>would be unrealistically large</w:t>
      </w:r>
      <w:r>
        <w:rPr>
          <w:rFonts w:cs="Times New Roman"/>
        </w:rPr>
        <w:t xml:space="preserve"> (i.e. &gt; 70 %) </w:t>
      </w:r>
      <w:r w:rsidRPr="00F56651">
        <w:rPr>
          <w:rFonts w:cs="Times New Roman"/>
        </w:rPr>
        <w:t xml:space="preserve">in order to account for the difference. There </w:t>
      </w:r>
      <w:r>
        <w:rPr>
          <w:rFonts w:cs="Times New Roman"/>
        </w:rPr>
        <w:t>are</w:t>
      </w:r>
      <w:r w:rsidRPr="00F56651">
        <w:rPr>
          <w:rFonts w:cs="Times New Roman"/>
        </w:rPr>
        <w:t xml:space="preserve"> fundamental difference</w:t>
      </w:r>
      <w:r>
        <w:rPr>
          <w:rFonts w:cs="Times New Roman"/>
        </w:rPr>
        <w:t>s</w:t>
      </w:r>
      <w:r w:rsidRPr="00F56651">
        <w:rPr>
          <w:rFonts w:cs="Times New Roman"/>
        </w:rPr>
        <w:t xml:space="preserve"> in the texture and color between the two types of dental tissue: enamel being white and resilient to abrasion using a low speed drill, cementum being yellow and soft. Therefore, we are confident in ruling out the possibility of </w:t>
      </w:r>
      <w:r>
        <w:rPr>
          <w:rFonts w:cs="Times New Roman"/>
        </w:rPr>
        <w:t xml:space="preserve">any major dentin or cementum </w:t>
      </w:r>
      <w:r w:rsidRPr="00F56651">
        <w:rPr>
          <w:rFonts w:cs="Times New Roman"/>
        </w:rPr>
        <w:t xml:space="preserve">contamination in our analysis. </w:t>
      </w:r>
    </w:p>
    <w:p w14:paraId="557A0518" w14:textId="77777777" w:rsidR="007561F6" w:rsidRPr="00F56651" w:rsidRDefault="007561F6" w:rsidP="007561F6">
      <w:pPr>
        <w:rPr>
          <w:rFonts w:cs="Times New Roman"/>
        </w:rPr>
      </w:pPr>
    </w:p>
    <w:p w14:paraId="45224A60" w14:textId="77777777" w:rsidR="007561F6" w:rsidRPr="00822135" w:rsidRDefault="007561F6" w:rsidP="007561F6">
      <w:pPr>
        <w:rPr>
          <w:b/>
        </w:rPr>
      </w:pPr>
      <w:r>
        <w:rPr>
          <w:b/>
        </w:rPr>
        <w:t xml:space="preserve">5. </w:t>
      </w:r>
      <w:r w:rsidRPr="00822135">
        <w:rPr>
          <w:b/>
        </w:rPr>
        <w:t xml:space="preserve">Nominal </w:t>
      </w:r>
      <w:bookmarkStart w:id="1" w:name="_Hlk22393674"/>
      <w:r w:rsidRPr="00822135">
        <w:rPr>
          <w:b/>
        </w:rPr>
        <w:t>%C</w:t>
      </w:r>
      <w:r w:rsidRPr="00D973D5">
        <w:rPr>
          <w:b/>
          <w:vertAlign w:val="subscript"/>
        </w:rPr>
        <w:t>4</w:t>
      </w:r>
      <w:r w:rsidRPr="00822135">
        <w:rPr>
          <w:b/>
        </w:rPr>
        <w:t xml:space="preserve"> </w:t>
      </w:r>
      <w:bookmarkEnd w:id="1"/>
      <w:r w:rsidRPr="00822135">
        <w:rPr>
          <w:b/>
        </w:rPr>
        <w:t>calculation</w:t>
      </w:r>
    </w:p>
    <w:p w14:paraId="4F8C2ADA" w14:textId="58DD580E" w:rsidR="007561F6" w:rsidRDefault="007561F6" w:rsidP="007561F6">
      <w:pPr>
        <w:rPr>
          <w:rFonts w:cs="Times New Roman"/>
        </w:rPr>
      </w:pPr>
      <w:r>
        <w:rPr>
          <w:rFonts w:cs="Times New Roman"/>
        </w:rPr>
        <w:tab/>
        <w:t>Because the isotopic enrichment factor between diet and enamel in the warthog is unknown, w</w:t>
      </w:r>
      <w:r w:rsidRPr="00F56651">
        <w:rPr>
          <w:rFonts w:cs="Times New Roman"/>
        </w:rPr>
        <w:t xml:space="preserve">e used </w:t>
      </w:r>
      <w:r>
        <w:rPr>
          <w:rFonts w:cs="Times New Roman"/>
        </w:rPr>
        <w:t xml:space="preserve">the </w:t>
      </w:r>
      <w:bookmarkStart w:id="2" w:name="_Hlk26967630"/>
      <w:r>
        <w:rPr>
          <w:rFonts w:cs="Times New Roman"/>
        </w:rPr>
        <w:t xml:space="preserve">isotopic enrichment factor </w:t>
      </w:r>
      <w:bookmarkEnd w:id="2"/>
      <w:r>
        <w:rPr>
          <w:rFonts w:cs="Times New Roman"/>
        </w:rPr>
        <w:t xml:space="preserve">between diet and enamel apatite </w:t>
      </w:r>
      <w:bookmarkStart w:id="3" w:name="_Hlk26967666"/>
      <w:r>
        <w:rPr>
          <w:rFonts w:cs="Times New Roman"/>
        </w:rPr>
        <w:t>(ε*</w:t>
      </w:r>
      <w:r w:rsidRPr="00D973D5">
        <w:rPr>
          <w:rFonts w:cs="Times New Roman"/>
          <w:vertAlign w:val="subscript"/>
        </w:rPr>
        <w:t>diet-</w:t>
      </w:r>
      <w:r>
        <w:rPr>
          <w:rFonts w:cs="Times New Roman"/>
          <w:vertAlign w:val="subscript"/>
        </w:rPr>
        <w:t>enamel</w:t>
      </w:r>
      <w:r>
        <w:rPr>
          <w:rFonts w:cs="Times New Roman"/>
        </w:rPr>
        <w:t>)</w:t>
      </w:r>
      <w:bookmarkEnd w:id="3"/>
      <w:r w:rsidRPr="00F56651">
        <w:rPr>
          <w:rFonts w:cs="Times New Roman"/>
        </w:rPr>
        <w:t xml:space="preserve"> value of 13.3</w:t>
      </w:r>
      <w:r>
        <w:rPr>
          <w:rFonts w:cs="Times New Roman"/>
        </w:rPr>
        <w:t xml:space="preserve"> </w:t>
      </w:r>
      <w:r w:rsidRPr="00F56651">
        <w:rPr>
          <w:rFonts w:cs="Times New Roman"/>
        </w:rPr>
        <w:t xml:space="preserve">‰ in </w:t>
      </w:r>
      <w:r w:rsidRPr="00F56651">
        <w:rPr>
          <w:rFonts w:cs="Times New Roman"/>
          <w:i/>
        </w:rPr>
        <w:t>Sus scrofa</w:t>
      </w:r>
      <w:r w:rsidRPr="00F56651">
        <w:rPr>
          <w:rFonts w:cs="Times New Roman"/>
        </w:rPr>
        <w:t xml:space="preserve"> </w:t>
      </w:r>
      <w:r>
        <w:rPr>
          <w:rFonts w:cs="Times New Roman"/>
        </w:rPr>
        <w:fldChar w:fldCharType="begin"/>
      </w:r>
      <w:r>
        <w:rPr>
          <w:rFonts w:cs="Times New Roman"/>
        </w:rPr>
        <w:instrText xml:space="preserve"> ADDIN EN.CITE &lt;EndNote&gt;&lt;Cite&gt;&lt;Author&gt;Passey&lt;/Author&gt;&lt;Year&gt;2005&lt;/Year&gt;&lt;RecNum&gt;785&lt;/RecNum&gt;&lt;DisplayText&gt;(Passey et al., 2005b)&lt;/DisplayText&gt;&lt;record&gt;&lt;rec-number&gt;785&lt;/rec-number&gt;&lt;foreign-keys&gt;&lt;key app="EN" db-id="tfdrzwraavd093eezvk5z5ehd2xvxse2wfar" timestamp="1570054848"&gt;785&lt;/key&gt;&lt;/foreign-keys&gt;&lt;ref-type name="Journal Article"&gt;17&lt;/ref-type&gt;&lt;contributors&gt;&lt;authors&gt;&lt;author&gt;Passey, Benjamin H.&lt;/author&gt;&lt;author&gt;Robinson, Todd F.&lt;/author&gt;&lt;author&gt;Ayliffe, Linda K.&lt;/author&gt;&lt;author&gt;Cerling, Thure E.&lt;/author&gt;&lt;author&gt;Sponheimer, Matt&lt;/author&gt;&lt;author&gt;Dearing, M. Denise&lt;/author&gt;&lt;author&gt;Roeder, Beverly L.&lt;/author&gt;&lt;author&gt;Ehleringer, James R.&lt;/author&gt;&lt;/authors&gt;&lt;/contributors&gt;&lt;titles&gt;&lt;title&gt;&lt;style face="normal" font="default" size="100%"&gt;Carbon isotope fractionation between diet, breath CO&lt;/style&gt;&lt;style face="subscript" font="default" size="100%"&gt;2&lt;/style&gt;&lt;style face="normal" font="default" size="100%"&gt;, and bioapatite in different mammals&lt;/style&gt;&lt;/title&gt;&lt;secondary-title&gt;Journal of Archaeological Science&lt;/secondary-title&gt;&lt;/titles&gt;&lt;periodical&gt;&lt;full-title&gt;Journal of Archaeological Science&lt;/full-title&gt;&lt;abbr-1&gt;J Archaeol Sci&lt;/abbr-1&gt;&lt;abbr-2&gt;J. Archaeol. Sci.&lt;/abbr-2&gt;&lt;/periodical&gt;&lt;pages&gt;1459-1470&lt;/pages&gt;&lt;volume&gt;32&lt;/volume&gt;&lt;number&gt;10&lt;/number&gt;&lt;keywords&gt;&lt;keyword&gt;Stable isotopes&lt;/keyword&gt;&lt;keyword&gt;Diet&lt;/keyword&gt;&lt;keyword&gt;Dietary reconstruction&lt;/keyword&gt;&lt;keyword&gt;Mammal&lt;/keyword&gt;&lt;keyword&gt;Carbon&lt;/keyword&gt;&lt;keyword&gt;Methane&lt;/keyword&gt;&lt;/keywords&gt;&lt;dates&gt;&lt;year&gt;2005&lt;/year&gt;&lt;pub-dates&gt;&lt;date&gt;2005/10/01/&lt;/date&gt;&lt;/pub-dates&gt;&lt;/dates&gt;&lt;isbn&gt;0305-4403&lt;/isbn&gt;&lt;urls&gt;&lt;related-urls&gt;&lt;url&gt;http://www.sciencedirect.com/science/article/pii/S030544030500083X&lt;/url&gt;&lt;/related-urls&gt;&lt;/urls&gt;&lt;electronic-resource-num&gt;https://doi.org/10.1016/j.jas.2005.03.015&lt;/electronic-resource-num&gt;&lt;/record&gt;&lt;/Cite&gt;&lt;/EndNote&gt;</w:instrText>
      </w:r>
      <w:r>
        <w:rPr>
          <w:rFonts w:cs="Times New Roman"/>
        </w:rPr>
        <w:fldChar w:fldCharType="separate"/>
      </w:r>
      <w:r>
        <w:rPr>
          <w:rFonts w:cs="Times New Roman"/>
          <w:noProof/>
        </w:rPr>
        <w:t>(</w:t>
      </w:r>
      <w:hyperlink w:anchor="_ENREF_16" w:tooltip="Passey, 2005 #785" w:history="1">
        <w:r w:rsidR="000B3CB2">
          <w:rPr>
            <w:rFonts w:cs="Times New Roman"/>
            <w:noProof/>
          </w:rPr>
          <w:t>Passey et al., 2005b</w:t>
        </w:r>
      </w:hyperlink>
      <w:r>
        <w:rPr>
          <w:rFonts w:cs="Times New Roman"/>
          <w:noProof/>
        </w:rPr>
        <w:t>)</w:t>
      </w:r>
      <w:r>
        <w:rPr>
          <w:rFonts w:cs="Times New Roman"/>
        </w:rPr>
        <w:fldChar w:fldCharType="end"/>
      </w:r>
      <w:r>
        <w:rPr>
          <w:rFonts w:cs="Times New Roman"/>
        </w:rPr>
        <w:t xml:space="preserve"> and the following procedure </w:t>
      </w:r>
      <w:r w:rsidRPr="00F56651">
        <w:rPr>
          <w:rFonts w:cs="Times New Roman"/>
        </w:rPr>
        <w:t xml:space="preserve">to estimate the </w:t>
      </w:r>
      <w:r w:rsidRPr="00D973D5">
        <w:t>%C</w:t>
      </w:r>
      <w:r w:rsidRPr="00D973D5">
        <w:rPr>
          <w:vertAlign w:val="subscript"/>
        </w:rPr>
        <w:t>4</w:t>
      </w:r>
      <w:r w:rsidRPr="00F56651">
        <w:rPr>
          <w:rFonts w:cs="Times New Roman"/>
        </w:rPr>
        <w:t xml:space="preserve"> </w:t>
      </w:r>
      <w:r>
        <w:rPr>
          <w:rFonts w:cs="Times New Roman"/>
        </w:rPr>
        <w:t xml:space="preserve">in the diet </w:t>
      </w:r>
      <w:r w:rsidRPr="00F56651">
        <w:rPr>
          <w:rFonts w:cs="Times New Roman"/>
        </w:rPr>
        <w:t xml:space="preserve">represented by the canine and third molar mean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values </w:t>
      </w:r>
      <w:r>
        <w:rPr>
          <w:rFonts w:cs="Times New Roman"/>
        </w:rPr>
        <w:t>in both</w:t>
      </w:r>
      <w:r w:rsidRPr="00F56651">
        <w:rPr>
          <w:rFonts w:cs="Times New Roman"/>
        </w:rPr>
        <w:t xml:space="preserve"> MPL1 and MPL2</w:t>
      </w:r>
      <w:r>
        <w:rPr>
          <w:rFonts w:cs="Times New Roman"/>
        </w:rPr>
        <w:t xml:space="preserve"> specimens</w:t>
      </w:r>
      <w:r w:rsidRPr="00F56651">
        <w:rPr>
          <w:rFonts w:cs="Times New Roman"/>
        </w:rPr>
        <w:t xml:space="preserve">. </w:t>
      </w:r>
      <w:r>
        <w:rPr>
          <w:rFonts w:cs="Times New Roman"/>
        </w:rPr>
        <w:t>T</w:t>
      </w:r>
      <w:r w:rsidRPr="00F56651">
        <w:rPr>
          <w:rFonts w:cs="Times New Roman"/>
        </w:rPr>
        <w:t xml:space="preserve">he application of the enrichment factor, </w:t>
      </w:r>
      <w:r>
        <w:rPr>
          <w:rFonts w:cs="Times New Roman"/>
        </w:rPr>
        <w:t>ε*</w:t>
      </w:r>
      <w:r w:rsidRPr="00D973D5">
        <w:rPr>
          <w:rFonts w:cs="Times New Roman"/>
          <w:vertAlign w:val="subscript"/>
        </w:rPr>
        <w:t>diet-</w:t>
      </w:r>
      <w:r>
        <w:rPr>
          <w:rFonts w:cs="Times New Roman"/>
          <w:vertAlign w:val="subscript"/>
        </w:rPr>
        <w:t>enamel</w:t>
      </w:r>
      <w:r w:rsidRPr="00F56651">
        <w:rPr>
          <w:rFonts w:cs="Times New Roman"/>
        </w:rPr>
        <w:t xml:space="preserve">, is from rearrangement of the following equation, </w:t>
      </w:r>
    </w:p>
    <w:p w14:paraId="4F54CF33" w14:textId="636C8C3C" w:rsidR="007561F6" w:rsidRDefault="007561F6" w:rsidP="005D5CE2">
      <w:pPr>
        <w:jc w:val="right"/>
        <w:rPr>
          <w:rFonts w:cs="Times New Roman"/>
        </w:rPr>
      </w:pPr>
      <w:bookmarkStart w:id="4" w:name="_Hlk26967727"/>
      <w:r w:rsidRPr="00F839DE">
        <w:rPr>
          <w:rFonts w:cs="Times New Roman"/>
          <w:i/>
        </w:rPr>
        <w:t>ε*= α* – 1</w:t>
      </w:r>
      <w:r w:rsidRPr="00F56651">
        <w:rPr>
          <w:rFonts w:cs="Times New Roman"/>
        </w:rPr>
        <w:t xml:space="preserve"> </w:t>
      </w:r>
      <w:r w:rsidR="003D5B60">
        <w:rPr>
          <w:rFonts w:cs="Times New Roman"/>
        </w:rPr>
        <w:tab/>
      </w:r>
      <w:r w:rsidR="003D5B60">
        <w:rPr>
          <w:rFonts w:cs="Times New Roman"/>
        </w:rPr>
        <w:tab/>
      </w:r>
      <w:r w:rsidR="003D5B60">
        <w:rPr>
          <w:rFonts w:cs="Times New Roman"/>
        </w:rPr>
        <w:tab/>
      </w:r>
      <w:r w:rsidR="003D5B60">
        <w:rPr>
          <w:rFonts w:cs="Times New Roman"/>
        </w:rPr>
        <w:tab/>
      </w:r>
      <w:r w:rsidR="003D5B60">
        <w:rPr>
          <w:rFonts w:cs="Times New Roman"/>
        </w:rPr>
        <w:tab/>
      </w:r>
      <w:r w:rsidR="003D5B60">
        <w:rPr>
          <w:rFonts w:cs="Times New Roman"/>
        </w:rPr>
        <w:tab/>
      </w:r>
      <w:r w:rsidR="003D5B60">
        <w:rPr>
          <w:rFonts w:cs="Times New Roman"/>
        </w:rPr>
        <w:tab/>
      </w:r>
      <w:r w:rsidRPr="00F56651">
        <w:rPr>
          <w:rFonts w:cs="Times New Roman"/>
        </w:rPr>
        <w:t>(1)</w:t>
      </w:r>
    </w:p>
    <w:p w14:paraId="6423855E" w14:textId="77777777" w:rsidR="00EE7A58" w:rsidRDefault="007561F6" w:rsidP="007561F6">
      <w:pPr>
        <w:rPr>
          <w:rFonts w:cs="Times New Roman"/>
        </w:rPr>
      </w:pPr>
      <w:r>
        <w:rPr>
          <w:rFonts w:cs="Times New Roman"/>
        </w:rPr>
        <w:tab/>
      </w:r>
    </w:p>
    <w:p w14:paraId="039DC7D9" w14:textId="2180E63C" w:rsidR="007561F6" w:rsidRDefault="007561F6" w:rsidP="007561F6">
      <w:pPr>
        <w:rPr>
          <w:rFonts w:cs="Times New Roman"/>
        </w:rPr>
      </w:pPr>
      <w:r w:rsidRPr="00F56651">
        <w:rPr>
          <w:rFonts w:cs="Times New Roman"/>
        </w:rPr>
        <w:t>from</w:t>
      </w:r>
      <w:r>
        <w:rPr>
          <w:rFonts w:cs="Times New Roman"/>
        </w:rPr>
        <w:t xml:space="preserve"> </w:t>
      </w:r>
      <w:r>
        <w:rPr>
          <w:rFonts w:cs="Times New Roman"/>
        </w:rPr>
        <w:fldChar w:fldCharType="begin"/>
      </w:r>
      <w:r w:rsidR="001E73C5">
        <w:rPr>
          <w:rFonts w:cs="Times New Roman"/>
        </w:rPr>
        <w:instrText xml:space="preserve"> ADDIN EN.CITE &lt;EndNote&gt;&lt;Cite&gt;&lt;Author&gt;Craig&lt;/Author&gt;&lt;Year&gt;1954&lt;/Year&gt;&lt;RecNum&gt;931&lt;/RecNum&gt;&lt;DisplayText&gt;(Craig, 1954)&lt;/DisplayText&gt;&lt;record&gt;&lt;rec-number&gt;931&lt;/rec-number&gt;&lt;foreign-keys&gt;&lt;key app="EN" db-id="tfdrzwraavd093eezvk5z5ehd2xvxse2wfar" timestamp="1576094132"&gt;931&lt;/key&gt;&lt;/foreign-keys&gt;&lt;ref-type name="Journal Article"&gt;17&lt;/ref-type&gt;&lt;contributors&gt;&lt;authors&gt;&lt;author&gt;Craig, Harmon&lt;/author&gt;&lt;/authors&gt;&lt;/contributors&gt;&lt;titles&gt;&lt;title&gt;Carbon 13 in Plants and the Relationships between Carbon 13 and Carbon 14 Variations in Nature&lt;/title&gt;&lt;secondary-title&gt;The Journal of Geology&lt;/secondary-title&gt;&lt;/titles&gt;&lt;periodical&gt;&lt;full-title&gt;The Journal of Geology&lt;/full-title&gt;&lt;abbr-1&gt;J Geol&lt;/abbr-1&gt;&lt;abbr-2&gt;J. Geol.&lt;/abbr-2&gt;&lt;/periodical&gt;&lt;pages&gt;115-149&lt;/pages&gt;&lt;volume&gt;62&lt;/volume&gt;&lt;number&gt;2&lt;/number&gt;&lt;dates&gt;&lt;year&gt;1954&lt;/year&gt;&lt;/dates&gt;&lt;publisher&gt;The University of Chicago Press&lt;/publisher&gt;&lt;isbn&gt;00221376, 15375269&lt;/isbn&gt;&lt;urls&gt;&lt;related-urls&gt;&lt;url&gt;www.jstor.org/stable/30056374&lt;/url&gt;&lt;/related-urls&gt;&lt;/urls&gt;&lt;custom1&gt;Full publication date: Mar., 1954&lt;/custom1&gt;&lt;/record&gt;&lt;/Cite&gt;&lt;/EndNote&gt;</w:instrText>
      </w:r>
      <w:r>
        <w:rPr>
          <w:rFonts w:cs="Times New Roman"/>
        </w:rPr>
        <w:fldChar w:fldCharType="separate"/>
      </w:r>
      <w:hyperlink w:anchor="_ENREF_4" w:tooltip="Craig, 1954 #931" w:history="1">
        <w:r w:rsidR="000B3CB2">
          <w:rPr>
            <w:rFonts w:cs="Times New Roman"/>
            <w:noProof/>
          </w:rPr>
          <w:t xml:space="preserve">Craig </w:t>
        </w:r>
        <w:r w:rsidR="00337384">
          <w:rPr>
            <w:rFonts w:cs="Times New Roman"/>
            <w:noProof/>
          </w:rPr>
          <w:t>(</w:t>
        </w:r>
        <w:r w:rsidR="000B3CB2">
          <w:rPr>
            <w:rFonts w:cs="Times New Roman"/>
            <w:noProof/>
          </w:rPr>
          <w:t>1954</w:t>
        </w:r>
      </w:hyperlink>
      <w:r w:rsidR="001E73C5">
        <w:rPr>
          <w:rFonts w:cs="Times New Roman"/>
          <w:noProof/>
        </w:rPr>
        <w:t>)</w:t>
      </w:r>
      <w:r>
        <w:rPr>
          <w:rFonts w:cs="Times New Roman"/>
        </w:rPr>
        <w:fldChar w:fldCharType="end"/>
      </w:r>
      <w:r w:rsidRPr="00F56651">
        <w:rPr>
          <w:rFonts w:cs="Times New Roman"/>
        </w:rPr>
        <w:t>, where alpha (</w:t>
      </w:r>
      <w:r>
        <w:rPr>
          <w:rFonts w:cs="Times New Roman"/>
        </w:rPr>
        <w:t>α</w:t>
      </w:r>
      <w:r w:rsidRPr="00F56651">
        <w:rPr>
          <w:rFonts w:cs="Times New Roman"/>
        </w:rPr>
        <w:t xml:space="preserve">*) is the apparent fractionation factor between diet and enamel, defined as </w:t>
      </w:r>
    </w:p>
    <w:p w14:paraId="57088E05" w14:textId="28F9C066" w:rsidR="007561F6" w:rsidRDefault="007561F6" w:rsidP="005D5CE2">
      <w:pPr>
        <w:jc w:val="right"/>
        <w:rPr>
          <w:rFonts w:cs="Times New Roman"/>
        </w:rPr>
      </w:pPr>
      <w:r w:rsidRPr="00F839DE">
        <w:rPr>
          <w:rFonts w:cs="Times New Roman"/>
          <w:i/>
        </w:rPr>
        <w:lastRenderedPageBreak/>
        <w:t xml:space="preserve">α*= </w:t>
      </w:r>
      <w:r w:rsidRPr="00F839DE">
        <w:rPr>
          <w:rFonts w:cs="Times New Roman"/>
        </w:rPr>
        <w:t>(</w:t>
      </w:r>
      <w:r w:rsidRPr="00F839DE">
        <w:rPr>
          <w:rFonts w:cs="Times New Roman"/>
          <w:i/>
        </w:rPr>
        <w:t>1000 +</w:t>
      </w:r>
      <w:r w:rsidRPr="00F839DE">
        <w:rPr>
          <w:rFonts w:cs="Times New Roman"/>
          <w:i/>
          <w:szCs w:val="24"/>
        </w:rPr>
        <w:t xml:space="preserve"> δ</w:t>
      </w:r>
      <w:r w:rsidRPr="00F839DE">
        <w:rPr>
          <w:rFonts w:cs="Times New Roman"/>
          <w:i/>
          <w:szCs w:val="24"/>
          <w:vertAlign w:val="superscript"/>
        </w:rPr>
        <w:t>13</w:t>
      </w:r>
      <w:r w:rsidRPr="00F839DE">
        <w:rPr>
          <w:rFonts w:cs="Times New Roman"/>
          <w:i/>
        </w:rPr>
        <w:t>C</w:t>
      </w:r>
      <w:r w:rsidRPr="00F839DE">
        <w:rPr>
          <w:rFonts w:cs="Times New Roman"/>
          <w:i/>
          <w:vertAlign w:val="subscript"/>
        </w:rPr>
        <w:t>enamel</w:t>
      </w:r>
      <w:r w:rsidRPr="00F839DE">
        <w:rPr>
          <w:rFonts w:cs="Times New Roman"/>
        </w:rPr>
        <w:t>) / (</w:t>
      </w:r>
      <w:r w:rsidRPr="00F839DE">
        <w:rPr>
          <w:rFonts w:cs="Times New Roman"/>
          <w:i/>
        </w:rPr>
        <w:t>1000 +</w:t>
      </w:r>
      <w:r w:rsidRPr="00F839DE">
        <w:rPr>
          <w:rFonts w:cs="Times New Roman"/>
          <w:i/>
          <w:szCs w:val="24"/>
        </w:rPr>
        <w:t xml:space="preserve"> δ</w:t>
      </w:r>
      <w:r w:rsidRPr="00F839DE">
        <w:rPr>
          <w:rFonts w:cs="Times New Roman"/>
          <w:i/>
          <w:szCs w:val="24"/>
          <w:vertAlign w:val="superscript"/>
        </w:rPr>
        <w:t>13</w:t>
      </w:r>
      <w:r w:rsidRPr="00F839DE">
        <w:rPr>
          <w:rFonts w:cs="Times New Roman"/>
          <w:i/>
        </w:rPr>
        <w:t>C</w:t>
      </w:r>
      <w:r w:rsidRPr="00F839DE">
        <w:rPr>
          <w:rFonts w:cs="Times New Roman"/>
          <w:i/>
          <w:vertAlign w:val="subscript"/>
        </w:rPr>
        <w:t>diet</w:t>
      </w:r>
      <w:r w:rsidRPr="00F839DE">
        <w:rPr>
          <w:rFonts w:cs="Times New Roman"/>
        </w:rPr>
        <w:t>)</w:t>
      </w:r>
      <w:r w:rsidRPr="00F56651">
        <w:rPr>
          <w:rFonts w:cs="Times New Roman"/>
        </w:rPr>
        <w:t xml:space="preserve"> </w:t>
      </w:r>
      <w:r w:rsidR="003D5B60">
        <w:rPr>
          <w:rFonts w:cs="Times New Roman"/>
        </w:rPr>
        <w:tab/>
      </w:r>
      <w:r w:rsidR="003D5B60">
        <w:rPr>
          <w:rFonts w:cs="Times New Roman"/>
        </w:rPr>
        <w:tab/>
      </w:r>
      <w:r w:rsidR="003D5B60">
        <w:rPr>
          <w:rFonts w:cs="Times New Roman"/>
        </w:rPr>
        <w:tab/>
      </w:r>
      <w:r w:rsidR="003D5B60">
        <w:rPr>
          <w:rFonts w:cs="Times New Roman"/>
        </w:rPr>
        <w:tab/>
      </w:r>
      <w:r w:rsidR="003D5B60">
        <w:rPr>
          <w:rFonts w:cs="Times New Roman"/>
        </w:rPr>
        <w:tab/>
      </w:r>
      <w:r w:rsidRPr="00F56651">
        <w:rPr>
          <w:rFonts w:cs="Times New Roman"/>
        </w:rPr>
        <w:t>(2)</w:t>
      </w:r>
      <w:bookmarkEnd w:id="4"/>
    </w:p>
    <w:p w14:paraId="331B9CBF" w14:textId="77777777" w:rsidR="00EE7A58" w:rsidRDefault="007561F6" w:rsidP="007561F6">
      <w:r>
        <w:tab/>
      </w:r>
    </w:p>
    <w:p w14:paraId="7E3D4CE0" w14:textId="1BA55DCD" w:rsidR="007561F6" w:rsidRPr="00F56651" w:rsidRDefault="007561F6" w:rsidP="005F513B">
      <w:pPr>
        <w:ind w:firstLine="720"/>
      </w:pPr>
      <w:r>
        <w:t xml:space="preserve">With these equations, we calculated </w:t>
      </w:r>
      <w:r w:rsidRPr="00F56651">
        <w:t xml:space="preserve">the </w:t>
      </w:r>
      <w:r w:rsidRPr="004826A7">
        <w:rPr>
          <w:rFonts w:cs="Times New Roman"/>
          <w:szCs w:val="24"/>
        </w:rPr>
        <w:t>δ</w:t>
      </w:r>
      <w:r w:rsidRPr="004826A7">
        <w:rPr>
          <w:rFonts w:cs="Times New Roman"/>
          <w:szCs w:val="24"/>
          <w:vertAlign w:val="superscript"/>
        </w:rPr>
        <w:t>13</w:t>
      </w:r>
      <w:r w:rsidRPr="004826A7">
        <w:rPr>
          <w:rFonts w:cs="Times New Roman"/>
        </w:rPr>
        <w:t>C</w:t>
      </w:r>
      <w:r w:rsidRPr="007B3402">
        <w:rPr>
          <w:rFonts w:cs="Times New Roman"/>
          <w:vertAlign w:val="subscript"/>
        </w:rPr>
        <w:t>diet</w:t>
      </w:r>
      <w:r w:rsidRPr="00F56651">
        <w:t xml:space="preserve"> value</w:t>
      </w:r>
      <w:r>
        <w:t xml:space="preserve">s from mean </w:t>
      </w:r>
      <w:r w:rsidRPr="004826A7">
        <w:rPr>
          <w:rFonts w:cs="Times New Roman"/>
          <w:szCs w:val="24"/>
        </w:rPr>
        <w:t>δ</w:t>
      </w:r>
      <w:r w:rsidRPr="004826A7">
        <w:rPr>
          <w:rFonts w:cs="Times New Roman"/>
          <w:szCs w:val="24"/>
          <w:vertAlign w:val="superscript"/>
        </w:rPr>
        <w:t>13</w:t>
      </w:r>
      <w:r w:rsidRPr="004826A7">
        <w:rPr>
          <w:rFonts w:cs="Times New Roman"/>
        </w:rPr>
        <w:t>C</w:t>
      </w:r>
      <w:r w:rsidRPr="00D973D5">
        <w:rPr>
          <w:rFonts w:cs="Times New Roman"/>
          <w:vertAlign w:val="subscript"/>
        </w:rPr>
        <w:t>enamel</w:t>
      </w:r>
      <w:r>
        <w:rPr>
          <w:rFonts w:cs="Times New Roman"/>
        </w:rPr>
        <w:t xml:space="preserve"> in both canine and M3</w:t>
      </w:r>
      <w:r w:rsidRPr="00F56651">
        <w:t>. Th</w:t>
      </w:r>
      <w:r>
        <w:t xml:space="preserve">e </w:t>
      </w:r>
      <w:r w:rsidRPr="004826A7">
        <w:rPr>
          <w:rFonts w:cs="Times New Roman"/>
          <w:szCs w:val="24"/>
        </w:rPr>
        <w:t>δ</w:t>
      </w:r>
      <w:r w:rsidRPr="004826A7">
        <w:rPr>
          <w:rFonts w:cs="Times New Roman"/>
          <w:szCs w:val="24"/>
          <w:vertAlign w:val="superscript"/>
        </w:rPr>
        <w:t>13</w:t>
      </w:r>
      <w:r w:rsidRPr="004826A7">
        <w:rPr>
          <w:rFonts w:cs="Times New Roman"/>
        </w:rPr>
        <w:t>C</w:t>
      </w:r>
      <w:r w:rsidRPr="007B3402">
        <w:rPr>
          <w:rFonts w:cs="Times New Roman"/>
          <w:vertAlign w:val="subscript"/>
        </w:rPr>
        <w:t>diet</w:t>
      </w:r>
      <w:r w:rsidRPr="00F56651">
        <w:t xml:space="preserve"> is then used in a linear mixing model to estimate %C</w:t>
      </w:r>
      <w:r w:rsidRPr="00F20F95">
        <w:rPr>
          <w:vertAlign w:val="subscript"/>
        </w:rPr>
        <w:t>4</w:t>
      </w:r>
      <w:r w:rsidRPr="00F56651">
        <w:t xml:space="preserve"> in diet. The endmember values for C</w:t>
      </w:r>
      <w:r w:rsidRPr="00F20F95">
        <w:rPr>
          <w:vertAlign w:val="subscript"/>
        </w:rPr>
        <w:t>3</w:t>
      </w:r>
      <w:r w:rsidRPr="00F56651">
        <w:t xml:space="preserve"> and C</w:t>
      </w:r>
      <w:r w:rsidRPr="00F20F95">
        <w:rPr>
          <w:vertAlign w:val="subscript"/>
        </w:rPr>
        <w:t>4</w:t>
      </w:r>
      <w:r w:rsidRPr="00F56651">
        <w:t xml:space="preserve"> plants were taken from</w:t>
      </w:r>
      <w:r>
        <w:t xml:space="preserve"> </w:t>
      </w:r>
      <w:hyperlink w:anchor="_ENREF_3" w:tooltip="Cerling, 1999 #741" w:history="1">
        <w:r w:rsidR="000B3CB2">
          <w:fldChar w:fldCharType="begin"/>
        </w:r>
        <w:r w:rsidR="000B3CB2">
          <w:instrText xml:space="preserve"> ADDIN EN.CITE &lt;EndNote&gt;&lt;Cite AuthorYear="1"&gt;&lt;Author&gt;Cerling&lt;/Author&gt;&lt;Year&gt;1999&lt;/Year&gt;&lt;RecNum&gt;741&lt;/RecNum&gt;&lt;DisplayText&gt;Cerling and Harris (1999)&lt;/DisplayText&gt;&lt;record&gt;&lt;rec-number&gt;741&lt;/rec-number&gt;&lt;foreign-keys&gt;&lt;key app="EN" db-id="tfdrzwraavd093eezvk5z5ehd2xvxse2wfar" timestamp="1568567586"&gt;741&lt;/key&gt;&lt;/foreign-keys&gt;&lt;ref-type name="Journal Article"&gt;17&lt;/ref-type&gt;&lt;contributors&gt;&lt;authors&gt;&lt;author&gt;Cerling, Thure E.&lt;/author&gt;&lt;author&gt;Harris, John M.&lt;/author&gt;&lt;/authors&gt;&lt;/contributors&gt;&lt;titles&gt;&lt;title&gt;Carbon isotope fractionation between diet and bioapatite in ungulate mammals and implications for ecological and paleoecological studies&lt;/title&gt;&lt;secondary-title&gt;Oecologia&lt;/secondary-title&gt;&lt;/titles&gt;&lt;periodical&gt;&lt;full-title&gt;Oecologia&lt;/full-title&gt;&lt;/periodical&gt;&lt;pages&gt;347-363&lt;/pages&gt;&lt;volume&gt;120&lt;/volume&gt;&lt;number&gt;3&lt;/number&gt;&lt;dates&gt;&lt;year&gt;1999&lt;/year&gt;&lt;pub-dates&gt;&lt;date&gt;August 01&lt;/date&gt;&lt;/pub-dates&gt;&lt;/dates&gt;&lt;isbn&gt;1432-1939&lt;/isbn&gt;&lt;label&gt;Cerling1999&lt;/label&gt;&lt;work-type&gt;journal article&lt;/work-type&gt;&lt;urls&gt;&lt;related-urls&gt;&lt;url&gt;https://doi.org/10.1007/s004420050868&lt;/url&gt;&lt;/related-urls&gt;&lt;/urls&gt;&lt;electronic-resource-num&gt;10.1007/s004420050868&lt;/electronic-resource-num&gt;&lt;/record&gt;&lt;/Cite&gt;&lt;/EndNote&gt;</w:instrText>
        </w:r>
        <w:r w:rsidR="000B3CB2">
          <w:fldChar w:fldCharType="separate"/>
        </w:r>
        <w:r w:rsidR="000B3CB2">
          <w:rPr>
            <w:noProof/>
          </w:rPr>
          <w:t>Cerling and Harris (1999)</w:t>
        </w:r>
        <w:r w:rsidR="000B3CB2">
          <w:fldChar w:fldCharType="end"/>
        </w:r>
      </w:hyperlink>
      <w:r w:rsidRPr="00F56651">
        <w:t xml:space="preserve">, with particular reference to Laikipia. The </w:t>
      </w:r>
      <w:r w:rsidR="00E77680">
        <w:t>modal</w:t>
      </w:r>
      <w:r w:rsidR="00E77680" w:rsidRPr="00F56651">
        <w:t xml:space="preserve">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t xml:space="preserve"> of </w:t>
      </w:r>
      <w:r w:rsidR="00F748E6">
        <w:rPr>
          <w:rFonts w:cs="Times New Roman"/>
        </w:rPr>
        <w:t>−</w:t>
      </w:r>
      <w:r w:rsidRPr="00F56651">
        <w:t>27</w:t>
      </w:r>
      <w:r w:rsidR="00337384">
        <w:t>.0</w:t>
      </w:r>
      <w:r w:rsidRPr="00F56651">
        <w:t xml:space="preserve"> ± 1.7</w:t>
      </w:r>
      <w:r>
        <w:t xml:space="preserve"> </w:t>
      </w:r>
      <w:r w:rsidRPr="00F56651">
        <w:t>‰ was used to represent C</w:t>
      </w:r>
      <w:r w:rsidRPr="001D1F4F">
        <w:rPr>
          <w:vertAlign w:val="subscript"/>
        </w:rPr>
        <w:t>3</w:t>
      </w:r>
      <w:r w:rsidRPr="00F56651">
        <w:t xml:space="preserve"> browse in eastern Africa. The </w:t>
      </w:r>
      <w:r w:rsidR="00E77680">
        <w:t>modal</w:t>
      </w:r>
      <w:r w:rsidR="00E77680" w:rsidRPr="00F56651">
        <w:t xml:space="preserve">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t xml:space="preserve"> of </w:t>
      </w:r>
      <w:r w:rsidR="00F748E6">
        <w:rPr>
          <w:rFonts w:cs="Times New Roman"/>
        </w:rPr>
        <w:t>−</w:t>
      </w:r>
      <w:r w:rsidRPr="00F56651">
        <w:t xml:space="preserve">12.8 </w:t>
      </w:r>
      <w:bookmarkStart w:id="5" w:name="_Hlk21889651"/>
      <w:r w:rsidRPr="00F56651">
        <w:t>±</w:t>
      </w:r>
      <w:bookmarkEnd w:id="5"/>
      <w:r w:rsidRPr="00F56651">
        <w:t xml:space="preserve"> 0.8</w:t>
      </w:r>
      <w:r>
        <w:t xml:space="preserve"> </w:t>
      </w:r>
      <w:r w:rsidRPr="00F56651">
        <w:t>‰ was used to represent C</w:t>
      </w:r>
      <w:r w:rsidRPr="001D1F4F">
        <w:rPr>
          <w:vertAlign w:val="subscript"/>
        </w:rPr>
        <w:t>4</w:t>
      </w:r>
      <w:r w:rsidRPr="00F56651">
        <w:t xml:space="preserve"> NAP-PCK grasses found in Laikipia </w:t>
      </w:r>
      <w:r>
        <w:fldChar w:fldCharType="begin"/>
      </w:r>
      <w:r>
        <w:instrText xml:space="preserve"> ADDIN EN.CITE &lt;EndNote&gt;&lt;Cite&gt;&lt;Author&gt;Cerling&lt;/Author&gt;&lt;Year&gt;1999&lt;/Year&gt;&lt;RecNum&gt;741&lt;/RecNum&gt;&lt;DisplayText&gt;(Cerling and Harris, 1999)&lt;/DisplayText&gt;&lt;record&gt;&lt;rec-number&gt;741&lt;/rec-number&gt;&lt;foreign-keys&gt;&lt;key app="EN" db-id="tfdrzwraavd093eezvk5z5ehd2xvxse2wfar" timestamp="1568567586"&gt;741&lt;/key&gt;&lt;/foreign-keys&gt;&lt;ref-type name="Journal Article"&gt;17&lt;/ref-type&gt;&lt;contributors&gt;&lt;authors&gt;&lt;author&gt;Cerling, Thure E.&lt;/author&gt;&lt;author&gt;Harris, John M.&lt;/author&gt;&lt;/authors&gt;&lt;/contributors&gt;&lt;titles&gt;&lt;title&gt;Carbon isotope fractionation between diet and bioapatite in ungulate mammals and implications for ecological and paleoecological studies&lt;/title&gt;&lt;secondary-title&gt;Oecologia&lt;/secondary-title&gt;&lt;/titles&gt;&lt;periodical&gt;&lt;full-title&gt;Oecologia&lt;/full-title&gt;&lt;/periodical&gt;&lt;pages&gt;347-363&lt;/pages&gt;&lt;volume&gt;120&lt;/volume&gt;&lt;number&gt;3&lt;/number&gt;&lt;dates&gt;&lt;year&gt;1999&lt;/year&gt;&lt;pub-dates&gt;&lt;date&gt;August 01&lt;/date&gt;&lt;/pub-dates&gt;&lt;/dates&gt;&lt;isbn&gt;1432-1939&lt;/isbn&gt;&lt;label&gt;Cerling1999&lt;/label&gt;&lt;work-type&gt;journal article&lt;/work-type&gt;&lt;urls&gt;&lt;related-urls&gt;&lt;url&gt;https://doi.org/10.1007/s004420050868&lt;/url&gt;&lt;/related-urls&gt;&lt;/urls&gt;&lt;electronic-resource-num&gt;10.1007/s004420050868&lt;/electronic-resource-num&gt;&lt;/record&gt;&lt;/Cite&gt;&lt;/EndNote&gt;</w:instrText>
      </w:r>
      <w:r>
        <w:fldChar w:fldCharType="separate"/>
      </w:r>
      <w:r>
        <w:rPr>
          <w:noProof/>
        </w:rPr>
        <w:t>(</w:t>
      </w:r>
      <w:hyperlink w:anchor="_ENREF_3" w:tooltip="Cerling, 1999 #741" w:history="1">
        <w:r w:rsidR="000B3CB2">
          <w:rPr>
            <w:noProof/>
          </w:rPr>
          <w:t>Cerling and Harris, 1999</w:t>
        </w:r>
      </w:hyperlink>
      <w:r>
        <w:rPr>
          <w:noProof/>
        </w:rPr>
        <w:t>)</w:t>
      </w:r>
      <w:r>
        <w:fldChar w:fldCharType="end"/>
      </w:r>
      <w:r w:rsidRPr="00F56651">
        <w:t xml:space="preserve">. </w:t>
      </w:r>
    </w:p>
    <w:p w14:paraId="10BB1F45" w14:textId="77777777" w:rsidR="007561F6" w:rsidRPr="00F56651" w:rsidRDefault="007561F6" w:rsidP="007561F6">
      <w:r>
        <w:tab/>
      </w:r>
      <w:r w:rsidRPr="00F56651">
        <w:t xml:space="preserve">For a linear mixing model, the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t xml:space="preserve"> value of a mixed diet can be expressed in the following equation:</w:t>
      </w:r>
    </w:p>
    <w:p w14:paraId="75AB5123" w14:textId="5D77F0D7" w:rsidR="007561F6" w:rsidRPr="001D1F4F" w:rsidRDefault="007561F6" w:rsidP="005D5CE2">
      <w:pPr>
        <w:jc w:val="right"/>
        <w:rPr>
          <w:rFonts w:cs="Times New Roman"/>
        </w:rPr>
      </w:pPr>
      <w:r w:rsidRPr="00F839DE">
        <w:rPr>
          <w:rFonts w:cs="Times New Roman"/>
          <w:i/>
          <w:szCs w:val="24"/>
        </w:rPr>
        <w:t>δ</w:t>
      </w:r>
      <w:r w:rsidRPr="00F839DE">
        <w:rPr>
          <w:rFonts w:cs="Times New Roman"/>
          <w:i/>
          <w:szCs w:val="24"/>
          <w:vertAlign w:val="superscript"/>
        </w:rPr>
        <w:t>13</w:t>
      </w:r>
      <w:r w:rsidRPr="00F839DE">
        <w:rPr>
          <w:rFonts w:cs="Times New Roman"/>
          <w:i/>
        </w:rPr>
        <w:t>C</w:t>
      </w:r>
      <w:r w:rsidRPr="00F839DE">
        <w:rPr>
          <w:rFonts w:cs="Times New Roman"/>
          <w:i/>
          <w:vertAlign w:val="subscript"/>
        </w:rPr>
        <w:t>diet</w:t>
      </w:r>
      <w:r w:rsidRPr="00F839DE">
        <w:rPr>
          <w:rFonts w:cs="Times New Roman"/>
          <w:i/>
        </w:rPr>
        <w:t xml:space="preserve"> </w:t>
      </w:r>
      <w:r w:rsidRPr="00F839DE">
        <w:rPr>
          <w:rFonts w:cs="Times New Roman"/>
          <w:i/>
          <w:szCs w:val="24"/>
        </w:rPr>
        <w:t>= f</w:t>
      </w:r>
      <w:r w:rsidRPr="00F839DE">
        <w:rPr>
          <w:rFonts w:cs="Times New Roman"/>
          <w:i/>
          <w:vertAlign w:val="subscript"/>
        </w:rPr>
        <w:t>C3</w:t>
      </w:r>
      <w:r w:rsidRPr="00F839DE">
        <w:rPr>
          <w:rFonts w:cs="Times New Roman"/>
          <w:i/>
        </w:rPr>
        <w:t xml:space="preserve"> × </w:t>
      </w:r>
      <w:r w:rsidRPr="00F839DE">
        <w:rPr>
          <w:rFonts w:cs="Times New Roman"/>
          <w:i/>
          <w:szCs w:val="24"/>
        </w:rPr>
        <w:t>δ</w:t>
      </w:r>
      <w:r w:rsidRPr="00F839DE">
        <w:rPr>
          <w:rFonts w:cs="Times New Roman"/>
          <w:i/>
          <w:szCs w:val="24"/>
          <w:vertAlign w:val="superscript"/>
        </w:rPr>
        <w:t>13</w:t>
      </w:r>
      <w:r w:rsidRPr="00F839DE">
        <w:rPr>
          <w:rFonts w:cs="Times New Roman"/>
          <w:i/>
        </w:rPr>
        <w:t>C</w:t>
      </w:r>
      <w:r w:rsidRPr="00F839DE">
        <w:rPr>
          <w:rFonts w:cs="Times New Roman"/>
          <w:i/>
          <w:vertAlign w:val="subscript"/>
        </w:rPr>
        <w:t>C3</w:t>
      </w:r>
      <w:r w:rsidRPr="00F839DE">
        <w:rPr>
          <w:rFonts w:cs="Times New Roman"/>
          <w:i/>
        </w:rPr>
        <w:t xml:space="preserve"> </w:t>
      </w:r>
      <w:r w:rsidRPr="00F839DE">
        <w:rPr>
          <w:rFonts w:cs="Times New Roman"/>
          <w:i/>
          <w:szCs w:val="24"/>
        </w:rPr>
        <w:t>+ f</w:t>
      </w:r>
      <w:r w:rsidRPr="00F839DE">
        <w:rPr>
          <w:rFonts w:cs="Times New Roman"/>
          <w:i/>
          <w:vertAlign w:val="subscript"/>
        </w:rPr>
        <w:t>C4</w:t>
      </w:r>
      <w:r w:rsidRPr="00F839DE">
        <w:rPr>
          <w:rFonts w:cs="Times New Roman"/>
          <w:i/>
        </w:rPr>
        <w:t xml:space="preserve"> × </w:t>
      </w:r>
      <w:r w:rsidRPr="00F839DE">
        <w:rPr>
          <w:rFonts w:cs="Times New Roman"/>
          <w:i/>
          <w:szCs w:val="24"/>
        </w:rPr>
        <w:t>δ</w:t>
      </w:r>
      <w:r w:rsidRPr="00F839DE">
        <w:rPr>
          <w:rFonts w:cs="Times New Roman"/>
          <w:i/>
          <w:szCs w:val="24"/>
          <w:vertAlign w:val="superscript"/>
        </w:rPr>
        <w:t>13</w:t>
      </w:r>
      <w:r w:rsidRPr="00F839DE">
        <w:rPr>
          <w:rFonts w:cs="Times New Roman"/>
          <w:i/>
        </w:rPr>
        <w:t>C</w:t>
      </w:r>
      <w:r w:rsidRPr="00F839DE">
        <w:rPr>
          <w:rFonts w:cs="Times New Roman"/>
          <w:i/>
          <w:vertAlign w:val="subscript"/>
        </w:rPr>
        <w:t>C4</w:t>
      </w:r>
      <w:r>
        <w:rPr>
          <w:rFonts w:cs="Times New Roman"/>
        </w:rPr>
        <w:t xml:space="preserve"> </w:t>
      </w:r>
      <w:r w:rsidR="003D5B60">
        <w:rPr>
          <w:rFonts w:cs="Times New Roman"/>
        </w:rPr>
        <w:tab/>
      </w:r>
      <w:r w:rsidR="003D5B60">
        <w:rPr>
          <w:rFonts w:cs="Times New Roman"/>
        </w:rPr>
        <w:tab/>
      </w:r>
      <w:r w:rsidR="003D5B60">
        <w:rPr>
          <w:rFonts w:cs="Times New Roman"/>
        </w:rPr>
        <w:tab/>
      </w:r>
      <w:r w:rsidR="003D5B60">
        <w:rPr>
          <w:rFonts w:cs="Times New Roman"/>
        </w:rPr>
        <w:tab/>
      </w:r>
      <w:r>
        <w:rPr>
          <w:rFonts w:cs="Times New Roman"/>
        </w:rPr>
        <w:t>(3)</w:t>
      </w:r>
    </w:p>
    <w:p w14:paraId="485498F6" w14:textId="4EA38828" w:rsidR="007561F6" w:rsidRDefault="007561F6" w:rsidP="007561F6">
      <w:pPr>
        <w:rPr>
          <w:rFonts w:cs="Times New Roman"/>
        </w:rPr>
      </w:pPr>
      <w:r>
        <w:rPr>
          <w:rFonts w:cs="Times New Roman"/>
        </w:rPr>
        <w:tab/>
      </w:r>
      <w:r w:rsidRPr="00F56651">
        <w:rPr>
          <w:rFonts w:cs="Times New Roman"/>
        </w:rPr>
        <w:t xml:space="preserve">Assuming </w:t>
      </w:r>
      <w:r w:rsidRPr="00F839DE">
        <w:rPr>
          <w:rFonts w:cs="Times New Roman"/>
          <w:i/>
          <w:szCs w:val="24"/>
        </w:rPr>
        <w:t>f</w:t>
      </w:r>
      <w:r w:rsidRPr="00F839DE">
        <w:rPr>
          <w:rFonts w:cs="Times New Roman"/>
          <w:i/>
          <w:vertAlign w:val="subscript"/>
        </w:rPr>
        <w:t>C3</w:t>
      </w:r>
      <w:r w:rsidRPr="00F839DE">
        <w:rPr>
          <w:rFonts w:cs="Times New Roman"/>
          <w:i/>
        </w:rPr>
        <w:t xml:space="preserve"> = 1 – </w:t>
      </w:r>
      <w:r w:rsidRPr="00F839DE">
        <w:rPr>
          <w:rFonts w:cs="Times New Roman"/>
          <w:i/>
          <w:szCs w:val="24"/>
        </w:rPr>
        <w:t>f</w:t>
      </w:r>
      <w:r w:rsidRPr="00F839DE">
        <w:rPr>
          <w:rFonts w:cs="Times New Roman"/>
          <w:i/>
          <w:vertAlign w:val="subscript"/>
        </w:rPr>
        <w:t>C4</w:t>
      </w:r>
      <w:r w:rsidRPr="00F56651">
        <w:rPr>
          <w:rFonts w:cs="Times New Roman"/>
        </w:rPr>
        <w:t xml:space="preserve">, </w:t>
      </w:r>
      <w:r w:rsidR="003D5B60">
        <w:rPr>
          <w:rFonts w:cs="Times New Roman"/>
        </w:rPr>
        <w:t xml:space="preserve">we can </w:t>
      </w:r>
      <w:r w:rsidRPr="00F56651">
        <w:rPr>
          <w:rFonts w:cs="Times New Roman"/>
        </w:rPr>
        <w:t xml:space="preserve">solve for </w:t>
      </w:r>
      <w:r w:rsidRPr="00F839DE">
        <w:rPr>
          <w:rFonts w:cs="Times New Roman"/>
          <w:i/>
          <w:szCs w:val="24"/>
        </w:rPr>
        <w:t>f</w:t>
      </w:r>
      <w:r w:rsidRPr="00F839DE">
        <w:rPr>
          <w:rFonts w:cs="Times New Roman"/>
          <w:i/>
          <w:vertAlign w:val="subscript"/>
        </w:rPr>
        <w:t>C4</w:t>
      </w:r>
      <w:r w:rsidRPr="00F56651">
        <w:rPr>
          <w:rFonts w:cs="Times New Roman"/>
        </w:rPr>
        <w:t xml:space="preserve">, </w:t>
      </w:r>
      <w:r w:rsidR="003D5B60">
        <w:rPr>
          <w:rFonts w:cs="Times New Roman"/>
        </w:rPr>
        <w:t>where</w:t>
      </w:r>
      <w:r w:rsidRPr="00F56651">
        <w:rPr>
          <w:rFonts w:cs="Times New Roman"/>
        </w:rPr>
        <w:t xml:space="preserve">: </w:t>
      </w:r>
    </w:p>
    <w:p w14:paraId="707CE8E9" w14:textId="5497A781" w:rsidR="007561F6" w:rsidRPr="00F56651" w:rsidRDefault="007561F6" w:rsidP="005D5CE2">
      <w:pPr>
        <w:jc w:val="right"/>
        <w:rPr>
          <w:rFonts w:cs="Times New Roman"/>
        </w:rPr>
      </w:pPr>
      <w:r>
        <w:rPr>
          <w:rFonts w:cs="Times New Roman"/>
        </w:rPr>
        <w:t>N</w:t>
      </w:r>
      <w:r w:rsidRPr="00F56651">
        <w:rPr>
          <w:rFonts w:cs="Times New Roman"/>
        </w:rPr>
        <w:t>ominal %C</w:t>
      </w:r>
      <w:r w:rsidRPr="00EF51CE">
        <w:rPr>
          <w:rFonts w:cs="Times New Roman"/>
          <w:vertAlign w:val="subscript"/>
        </w:rPr>
        <w:t>4</w:t>
      </w:r>
      <w:r w:rsidRPr="001D1F4F">
        <w:rPr>
          <w:rFonts w:cs="Times New Roman"/>
        </w:rPr>
        <w:t xml:space="preserve"> </w:t>
      </w:r>
      <w:r>
        <w:rPr>
          <w:rFonts w:cs="Times New Roman"/>
        </w:rPr>
        <w:t>(</w:t>
      </w:r>
      <w:r w:rsidRPr="00F839DE">
        <w:rPr>
          <w:rFonts w:cs="Times New Roman"/>
          <w:i/>
          <w:szCs w:val="24"/>
        </w:rPr>
        <w:t>f</w:t>
      </w:r>
      <w:r w:rsidRPr="00F839DE">
        <w:rPr>
          <w:rFonts w:cs="Times New Roman"/>
          <w:i/>
          <w:vertAlign w:val="subscript"/>
        </w:rPr>
        <w:t>C4</w:t>
      </w:r>
      <w:r>
        <w:rPr>
          <w:rFonts w:cs="Times New Roman"/>
        </w:rPr>
        <w:t xml:space="preserve">) </w:t>
      </w:r>
      <w:r w:rsidRPr="00F56651">
        <w:rPr>
          <w:rFonts w:cs="Times New Roman"/>
        </w:rPr>
        <w:t xml:space="preserve">= </w:t>
      </w:r>
      <w:r w:rsidRPr="00F839DE">
        <w:rPr>
          <w:rFonts w:cs="Times New Roman"/>
        </w:rPr>
        <w:t>(</w:t>
      </w:r>
      <w:r w:rsidRPr="00F839DE">
        <w:rPr>
          <w:rFonts w:cs="Times New Roman"/>
          <w:i/>
          <w:szCs w:val="24"/>
        </w:rPr>
        <w:t>δ</w:t>
      </w:r>
      <w:r w:rsidRPr="00F839DE">
        <w:rPr>
          <w:rFonts w:cs="Times New Roman"/>
          <w:i/>
          <w:szCs w:val="24"/>
          <w:vertAlign w:val="superscript"/>
        </w:rPr>
        <w:t>13</w:t>
      </w:r>
      <w:r w:rsidRPr="00F839DE">
        <w:rPr>
          <w:rFonts w:cs="Times New Roman"/>
          <w:i/>
        </w:rPr>
        <w:t>C</w:t>
      </w:r>
      <w:r w:rsidRPr="00F839DE">
        <w:rPr>
          <w:rFonts w:cs="Times New Roman"/>
          <w:i/>
          <w:vertAlign w:val="subscript"/>
        </w:rPr>
        <w:t>diet</w:t>
      </w:r>
      <w:r w:rsidRPr="00F839DE">
        <w:rPr>
          <w:rFonts w:cs="Times New Roman"/>
          <w:i/>
        </w:rPr>
        <w:t xml:space="preserve"> – </w:t>
      </w:r>
      <w:r w:rsidRPr="00F839DE">
        <w:rPr>
          <w:rFonts w:cs="Times New Roman"/>
          <w:i/>
          <w:szCs w:val="24"/>
        </w:rPr>
        <w:t>δ</w:t>
      </w:r>
      <w:r w:rsidRPr="00F839DE">
        <w:rPr>
          <w:rFonts w:cs="Times New Roman"/>
          <w:i/>
          <w:szCs w:val="24"/>
          <w:vertAlign w:val="superscript"/>
        </w:rPr>
        <w:t>13</w:t>
      </w:r>
      <w:r w:rsidRPr="00F839DE">
        <w:rPr>
          <w:rFonts w:cs="Times New Roman"/>
          <w:i/>
        </w:rPr>
        <w:t>C</w:t>
      </w:r>
      <w:r w:rsidRPr="00F839DE">
        <w:rPr>
          <w:rFonts w:cs="Times New Roman"/>
          <w:i/>
          <w:vertAlign w:val="subscript"/>
        </w:rPr>
        <w:t>C3</w:t>
      </w:r>
      <w:r w:rsidRPr="00F839DE">
        <w:rPr>
          <w:rFonts w:cs="Times New Roman"/>
        </w:rPr>
        <w:t>)</w:t>
      </w:r>
      <w:r>
        <w:rPr>
          <w:rFonts w:cs="Times New Roman"/>
        </w:rPr>
        <w:t xml:space="preserve"> </w:t>
      </w:r>
      <w:r w:rsidRPr="00F839DE">
        <w:rPr>
          <w:rFonts w:cs="Times New Roman"/>
        </w:rPr>
        <w:t>/ (</w:t>
      </w:r>
      <w:r w:rsidRPr="00F839DE">
        <w:rPr>
          <w:rFonts w:cs="Times New Roman"/>
          <w:i/>
          <w:szCs w:val="24"/>
        </w:rPr>
        <w:t>δ</w:t>
      </w:r>
      <w:r w:rsidRPr="00F839DE">
        <w:rPr>
          <w:rFonts w:cs="Times New Roman"/>
          <w:i/>
          <w:szCs w:val="24"/>
          <w:vertAlign w:val="superscript"/>
        </w:rPr>
        <w:t>13</w:t>
      </w:r>
      <w:r w:rsidRPr="00F839DE">
        <w:rPr>
          <w:rFonts w:cs="Times New Roman"/>
          <w:i/>
        </w:rPr>
        <w:t>C</w:t>
      </w:r>
      <w:r w:rsidRPr="00F839DE">
        <w:rPr>
          <w:rFonts w:cs="Times New Roman"/>
          <w:i/>
          <w:vertAlign w:val="subscript"/>
        </w:rPr>
        <w:t>C4</w:t>
      </w:r>
      <w:r w:rsidRPr="00F839DE">
        <w:rPr>
          <w:rFonts w:cs="Times New Roman"/>
          <w:i/>
        </w:rPr>
        <w:t xml:space="preserve">– </w:t>
      </w:r>
      <w:r w:rsidRPr="00F839DE">
        <w:rPr>
          <w:rFonts w:cs="Times New Roman"/>
          <w:i/>
          <w:szCs w:val="24"/>
        </w:rPr>
        <w:t>δ</w:t>
      </w:r>
      <w:r w:rsidRPr="00F839DE">
        <w:rPr>
          <w:rFonts w:cs="Times New Roman"/>
          <w:i/>
          <w:szCs w:val="24"/>
          <w:vertAlign w:val="superscript"/>
        </w:rPr>
        <w:t>13</w:t>
      </w:r>
      <w:r w:rsidRPr="00F839DE">
        <w:rPr>
          <w:rFonts w:cs="Times New Roman"/>
          <w:i/>
        </w:rPr>
        <w:t>C</w:t>
      </w:r>
      <w:r w:rsidRPr="00F839DE">
        <w:rPr>
          <w:rFonts w:cs="Times New Roman"/>
          <w:i/>
          <w:vertAlign w:val="subscript"/>
        </w:rPr>
        <w:t>C3</w:t>
      </w:r>
      <w:r w:rsidRPr="00F839DE">
        <w:rPr>
          <w:rFonts w:cs="Times New Roman"/>
        </w:rPr>
        <w:t>)</w:t>
      </w:r>
      <w:r w:rsidRPr="00F56651">
        <w:rPr>
          <w:rFonts w:cs="Times New Roman"/>
        </w:rPr>
        <w:t xml:space="preserve"> × 100</w:t>
      </w:r>
      <w:r>
        <w:rPr>
          <w:rFonts w:cs="Times New Roman"/>
        </w:rPr>
        <w:t xml:space="preserve"> </w:t>
      </w:r>
      <w:r w:rsidR="003D5B60">
        <w:rPr>
          <w:rFonts w:cs="Times New Roman"/>
        </w:rPr>
        <w:tab/>
      </w:r>
      <w:r w:rsidR="003D5B60">
        <w:rPr>
          <w:rFonts w:cs="Times New Roman"/>
        </w:rPr>
        <w:tab/>
      </w:r>
      <w:r w:rsidR="003D5B60">
        <w:rPr>
          <w:rFonts w:cs="Times New Roman"/>
        </w:rPr>
        <w:tab/>
      </w:r>
      <w:r>
        <w:rPr>
          <w:rFonts w:cs="Times New Roman"/>
        </w:rPr>
        <w:t>(4)</w:t>
      </w:r>
    </w:p>
    <w:p w14:paraId="72A35DB3" w14:textId="77777777" w:rsidR="00EE7A58" w:rsidRDefault="007561F6" w:rsidP="007561F6">
      <w:pPr>
        <w:rPr>
          <w:rFonts w:cs="Times New Roman"/>
        </w:rPr>
      </w:pPr>
      <w:r>
        <w:rPr>
          <w:rFonts w:cs="Times New Roman"/>
        </w:rPr>
        <w:tab/>
      </w:r>
    </w:p>
    <w:p w14:paraId="030020CB" w14:textId="6B3AF431" w:rsidR="007561F6" w:rsidRPr="00F56651" w:rsidRDefault="007561F6" w:rsidP="007561F6">
      <w:pPr>
        <w:rPr>
          <w:rFonts w:cs="Times New Roman"/>
        </w:rPr>
      </w:pPr>
      <w:r w:rsidRPr="00F56651">
        <w:rPr>
          <w:rFonts w:cs="Times New Roman"/>
        </w:rPr>
        <w:t>We used three linear mixing lines to calculate the average nominal %C</w:t>
      </w:r>
      <w:r w:rsidRPr="00EF51CE">
        <w:rPr>
          <w:rFonts w:cs="Times New Roman"/>
          <w:vertAlign w:val="subscript"/>
        </w:rPr>
        <w:t>4</w:t>
      </w:r>
      <w:r w:rsidRPr="00F56651">
        <w:rPr>
          <w:rFonts w:cs="Times New Roman"/>
        </w:rPr>
        <w:t xml:space="preserve"> and its upper and lower range estimates. The </w:t>
      </w:r>
      <w:proofErr w:type="spellStart"/>
      <w:r>
        <w:rPr>
          <w:rFonts w:cs="Times New Roman"/>
        </w:rPr>
        <w:t>modal</w:t>
      </w:r>
      <w:proofErr w:type="spellEnd"/>
      <w:r>
        <w:rPr>
          <w:rFonts w:cs="Times New Roman"/>
        </w:rPr>
        <w:t xml:space="preserve"> </w:t>
      </w:r>
      <w:r w:rsidRPr="00F56651">
        <w:rPr>
          <w:rFonts w:cs="Times New Roman"/>
        </w:rPr>
        <w:t>values for C</w:t>
      </w:r>
      <w:r w:rsidRPr="00F20F95">
        <w:rPr>
          <w:rFonts w:cs="Times New Roman"/>
          <w:vertAlign w:val="subscript"/>
        </w:rPr>
        <w:t>3</w:t>
      </w:r>
      <w:r w:rsidRPr="00F56651">
        <w:rPr>
          <w:rFonts w:cs="Times New Roman"/>
        </w:rPr>
        <w:t xml:space="preserve"> and C</w:t>
      </w:r>
      <w:r w:rsidRPr="00F20F95">
        <w:rPr>
          <w:rFonts w:cs="Times New Roman"/>
          <w:vertAlign w:val="subscript"/>
        </w:rPr>
        <w:t>4</w:t>
      </w:r>
      <w:r w:rsidRPr="00F56651">
        <w:rPr>
          <w:rFonts w:cs="Times New Roman"/>
        </w:rPr>
        <w:t xml:space="preserve"> plants (</w:t>
      </w:r>
      <w:r w:rsidR="00F748E6">
        <w:rPr>
          <w:rFonts w:cs="Times New Roman"/>
        </w:rPr>
        <w:t>−</w:t>
      </w:r>
      <w:r w:rsidRPr="00F56651">
        <w:rPr>
          <w:rFonts w:cs="Times New Roman"/>
        </w:rPr>
        <w:t>27</w:t>
      </w:r>
      <w:r w:rsidR="00337384">
        <w:rPr>
          <w:rFonts w:cs="Times New Roman"/>
        </w:rPr>
        <w:t>.0</w:t>
      </w:r>
      <w:r>
        <w:rPr>
          <w:rFonts w:cs="Times New Roman"/>
        </w:rPr>
        <w:t xml:space="preserve"> </w:t>
      </w:r>
      <w:r w:rsidRPr="00F56651">
        <w:rPr>
          <w:rFonts w:cs="Times New Roman"/>
        </w:rPr>
        <w:t xml:space="preserve">‰ and </w:t>
      </w:r>
      <w:r w:rsidR="00F748E6">
        <w:rPr>
          <w:rFonts w:cs="Times New Roman"/>
        </w:rPr>
        <w:t>−</w:t>
      </w:r>
      <w:r w:rsidRPr="00F56651">
        <w:rPr>
          <w:rFonts w:cs="Times New Roman"/>
        </w:rPr>
        <w:t>12.8</w:t>
      </w:r>
      <w:r>
        <w:rPr>
          <w:rFonts w:cs="Times New Roman"/>
        </w:rPr>
        <w:t xml:space="preserve"> </w:t>
      </w:r>
      <w:r w:rsidRPr="00F56651">
        <w:rPr>
          <w:rFonts w:cs="Times New Roman"/>
        </w:rPr>
        <w:t>‰, respectively) w</w:t>
      </w:r>
      <w:r>
        <w:rPr>
          <w:rFonts w:cs="Times New Roman"/>
        </w:rPr>
        <w:t>ere</w:t>
      </w:r>
      <w:r w:rsidRPr="00F56651">
        <w:rPr>
          <w:rFonts w:cs="Times New Roman"/>
        </w:rPr>
        <w:t xml:space="preserve"> used to produce the average value. A steeper slope was used for the higher end estimate, using the C</w:t>
      </w:r>
      <w:r w:rsidRPr="00F20F95">
        <w:rPr>
          <w:rFonts w:cs="Times New Roman"/>
          <w:vertAlign w:val="subscript"/>
        </w:rPr>
        <w:t>3</w:t>
      </w:r>
      <w:r w:rsidRPr="00F56651">
        <w:rPr>
          <w:rFonts w:cs="Times New Roman"/>
        </w:rPr>
        <w:t xml:space="preserve"> end member value of </w:t>
      </w:r>
      <w:r w:rsidR="00337384">
        <w:rPr>
          <w:rFonts w:cs="Times New Roman"/>
        </w:rPr>
        <w:t>−</w:t>
      </w:r>
      <w:r w:rsidRPr="00F56651">
        <w:rPr>
          <w:rFonts w:cs="Times New Roman"/>
        </w:rPr>
        <w:t>28.7</w:t>
      </w:r>
      <w:r>
        <w:rPr>
          <w:rFonts w:cs="Times New Roman"/>
        </w:rPr>
        <w:t xml:space="preserve"> </w:t>
      </w:r>
      <w:r w:rsidRPr="00F56651">
        <w:rPr>
          <w:rFonts w:cs="Times New Roman"/>
        </w:rPr>
        <w:t>‰ (</w:t>
      </w:r>
      <w:r w:rsidR="00F748E6">
        <w:rPr>
          <w:rFonts w:cs="Times New Roman"/>
        </w:rPr>
        <w:t>−</w:t>
      </w:r>
      <w:r w:rsidRPr="00F56651">
        <w:rPr>
          <w:rFonts w:cs="Times New Roman"/>
        </w:rPr>
        <w:t>27</w:t>
      </w:r>
      <w:r w:rsidR="00337384">
        <w:rPr>
          <w:rFonts w:cs="Times New Roman"/>
        </w:rPr>
        <w:t>.0</w:t>
      </w:r>
      <w:r w:rsidRPr="00F56651">
        <w:rPr>
          <w:rFonts w:cs="Times New Roman"/>
        </w:rPr>
        <w:t xml:space="preserve"> – 1.7</w:t>
      </w:r>
      <w:r>
        <w:rPr>
          <w:rFonts w:cs="Times New Roman"/>
        </w:rPr>
        <w:t xml:space="preserve"> </w:t>
      </w:r>
      <w:r w:rsidRPr="00F56651">
        <w:rPr>
          <w:rFonts w:cs="Times New Roman"/>
        </w:rPr>
        <w:t>‰, mean minus 1</w:t>
      </w:r>
      <w:r w:rsidRPr="00F20F95">
        <w:rPr>
          <w:rFonts w:cs="Times New Roman"/>
        </w:rPr>
        <w:t>σ</w:t>
      </w:r>
      <w:r w:rsidRPr="00F56651">
        <w:rPr>
          <w:rFonts w:cs="Times New Roman"/>
        </w:rPr>
        <w:t>), and the end member C</w:t>
      </w:r>
      <w:r w:rsidRPr="00F20F95">
        <w:rPr>
          <w:rFonts w:cs="Times New Roman"/>
          <w:vertAlign w:val="subscript"/>
        </w:rPr>
        <w:t>4</w:t>
      </w:r>
      <w:r w:rsidRPr="00F56651">
        <w:rPr>
          <w:rFonts w:cs="Times New Roman"/>
        </w:rPr>
        <w:t xml:space="preserve"> value of </w:t>
      </w:r>
      <w:r w:rsidR="00337384">
        <w:rPr>
          <w:rFonts w:cs="Times New Roman"/>
        </w:rPr>
        <w:t>−</w:t>
      </w:r>
      <w:r w:rsidRPr="00F56651">
        <w:rPr>
          <w:rFonts w:cs="Times New Roman"/>
        </w:rPr>
        <w:t>12 ‰ (</w:t>
      </w:r>
      <w:r w:rsidR="00F748E6">
        <w:rPr>
          <w:rFonts w:cs="Times New Roman"/>
        </w:rPr>
        <w:t>−</w:t>
      </w:r>
      <w:r w:rsidRPr="00F56651">
        <w:rPr>
          <w:rFonts w:cs="Times New Roman"/>
        </w:rPr>
        <w:t>12.8 + 0.8</w:t>
      </w:r>
      <w:r>
        <w:rPr>
          <w:rFonts w:cs="Times New Roman"/>
        </w:rPr>
        <w:t xml:space="preserve"> </w:t>
      </w:r>
      <w:r w:rsidRPr="00F56651">
        <w:rPr>
          <w:rFonts w:cs="Times New Roman"/>
        </w:rPr>
        <w:t>‰, mean plus 1</w:t>
      </w:r>
      <w:r w:rsidRPr="00F20F95">
        <w:rPr>
          <w:rFonts w:cs="Times New Roman"/>
        </w:rPr>
        <w:t>σ</w:t>
      </w:r>
      <w:r w:rsidRPr="00F56651">
        <w:rPr>
          <w:rFonts w:cs="Times New Roman"/>
        </w:rPr>
        <w:t>). Similarly, a shallower slope was used for the lower end estimate, using the C</w:t>
      </w:r>
      <w:r w:rsidRPr="00F20F95">
        <w:rPr>
          <w:rFonts w:cs="Times New Roman"/>
          <w:vertAlign w:val="subscript"/>
        </w:rPr>
        <w:t>3</w:t>
      </w:r>
      <w:r w:rsidRPr="00F56651">
        <w:rPr>
          <w:rFonts w:cs="Times New Roman"/>
        </w:rPr>
        <w:t xml:space="preserve"> end member value of </w:t>
      </w:r>
      <w:r w:rsidR="00F748E6">
        <w:rPr>
          <w:rFonts w:cs="Times New Roman"/>
        </w:rPr>
        <w:t>−</w:t>
      </w:r>
      <w:r w:rsidRPr="00F56651">
        <w:rPr>
          <w:rFonts w:cs="Times New Roman"/>
        </w:rPr>
        <w:t>25.3</w:t>
      </w:r>
      <w:r>
        <w:rPr>
          <w:rFonts w:cs="Times New Roman"/>
        </w:rPr>
        <w:t xml:space="preserve"> </w:t>
      </w:r>
      <w:r w:rsidRPr="00F56651">
        <w:rPr>
          <w:rFonts w:cs="Times New Roman"/>
        </w:rPr>
        <w:t>‰ (</w:t>
      </w:r>
      <w:r w:rsidR="00F748E6">
        <w:rPr>
          <w:rFonts w:cs="Times New Roman"/>
        </w:rPr>
        <w:t>−</w:t>
      </w:r>
      <w:r w:rsidRPr="00F56651">
        <w:rPr>
          <w:rFonts w:cs="Times New Roman"/>
        </w:rPr>
        <w:t>27</w:t>
      </w:r>
      <w:r w:rsidR="00106E52">
        <w:rPr>
          <w:rFonts w:cs="Times New Roman"/>
        </w:rPr>
        <w:t>.0</w:t>
      </w:r>
      <w:r w:rsidRPr="00F56651">
        <w:rPr>
          <w:rFonts w:cs="Times New Roman"/>
        </w:rPr>
        <w:t xml:space="preserve"> + 1.7</w:t>
      </w:r>
      <w:r>
        <w:rPr>
          <w:rFonts w:cs="Times New Roman"/>
        </w:rPr>
        <w:t xml:space="preserve"> </w:t>
      </w:r>
      <w:r w:rsidRPr="00F56651">
        <w:rPr>
          <w:rFonts w:cs="Times New Roman"/>
        </w:rPr>
        <w:t>‰, mean plus 1</w:t>
      </w:r>
      <w:r w:rsidRPr="00F20F95">
        <w:rPr>
          <w:rFonts w:cs="Times New Roman"/>
        </w:rPr>
        <w:t>σ</w:t>
      </w:r>
      <w:r w:rsidRPr="00F56651">
        <w:rPr>
          <w:rFonts w:cs="Times New Roman"/>
        </w:rPr>
        <w:t>), and the end member C</w:t>
      </w:r>
      <w:r w:rsidRPr="00F20F95">
        <w:rPr>
          <w:rFonts w:cs="Times New Roman"/>
          <w:vertAlign w:val="subscript"/>
        </w:rPr>
        <w:t>4</w:t>
      </w:r>
      <w:r w:rsidRPr="00F56651">
        <w:rPr>
          <w:rFonts w:cs="Times New Roman"/>
        </w:rPr>
        <w:t xml:space="preserve"> value of </w:t>
      </w:r>
      <w:r w:rsidR="00F748E6">
        <w:rPr>
          <w:rFonts w:cs="Times New Roman"/>
        </w:rPr>
        <w:t>−</w:t>
      </w:r>
      <w:r w:rsidRPr="00F56651">
        <w:rPr>
          <w:rFonts w:cs="Times New Roman"/>
        </w:rPr>
        <w:t>13.6 ‰ (</w:t>
      </w:r>
      <w:r w:rsidR="00F748E6">
        <w:rPr>
          <w:rFonts w:cs="Times New Roman"/>
        </w:rPr>
        <w:t>−</w:t>
      </w:r>
      <w:r w:rsidRPr="00F56651">
        <w:rPr>
          <w:rFonts w:cs="Times New Roman"/>
        </w:rPr>
        <w:t xml:space="preserve">12.8 </w:t>
      </w:r>
      <w:r w:rsidR="00F748E6">
        <w:rPr>
          <w:rFonts w:cs="Times New Roman"/>
        </w:rPr>
        <w:t>−</w:t>
      </w:r>
      <w:r w:rsidRPr="00F56651">
        <w:rPr>
          <w:rFonts w:cs="Times New Roman"/>
        </w:rPr>
        <w:t xml:space="preserve"> 0.8</w:t>
      </w:r>
      <w:r>
        <w:rPr>
          <w:rFonts w:cs="Times New Roman"/>
        </w:rPr>
        <w:t xml:space="preserve"> </w:t>
      </w:r>
      <w:r w:rsidRPr="00F56651">
        <w:rPr>
          <w:rFonts w:cs="Times New Roman"/>
        </w:rPr>
        <w:t>‰, mean minus 1</w:t>
      </w:r>
      <w:r w:rsidRPr="00F20F95">
        <w:rPr>
          <w:rFonts w:cs="Times New Roman"/>
        </w:rPr>
        <w:t>σ</w:t>
      </w:r>
      <w:r w:rsidRPr="00F56651">
        <w:rPr>
          <w:rFonts w:cs="Times New Roman"/>
        </w:rPr>
        <w:t xml:space="preserve">). </w:t>
      </w:r>
    </w:p>
    <w:p w14:paraId="36F6BFD2" w14:textId="7C47BACC" w:rsidR="007561F6" w:rsidRDefault="00CC0F52" w:rsidP="007561F6">
      <w:pPr>
        <w:rPr>
          <w:rFonts w:cs="Times New Roman"/>
        </w:rPr>
      </w:pPr>
      <w:r>
        <w:rPr>
          <w:rFonts w:cs="Times New Roman"/>
        </w:rPr>
        <w:tab/>
      </w:r>
      <w:r w:rsidR="00C603AB">
        <w:rPr>
          <w:rFonts w:cs="Times New Roman"/>
        </w:rPr>
        <w:t xml:space="preserve">For the mean </w:t>
      </w:r>
      <w:r w:rsidR="00C603AB" w:rsidRPr="00C603AB">
        <w:rPr>
          <w:rFonts w:cs="Times New Roman"/>
          <w:iCs/>
          <w:szCs w:val="24"/>
        </w:rPr>
        <w:t>δ</w:t>
      </w:r>
      <w:r w:rsidR="00C603AB" w:rsidRPr="00C603AB">
        <w:rPr>
          <w:rFonts w:cs="Times New Roman"/>
          <w:iCs/>
          <w:szCs w:val="24"/>
          <w:vertAlign w:val="superscript"/>
        </w:rPr>
        <w:t>13</w:t>
      </w:r>
      <w:r w:rsidR="00C603AB" w:rsidRPr="00C603AB">
        <w:rPr>
          <w:rFonts w:cs="Times New Roman"/>
          <w:iCs/>
        </w:rPr>
        <w:t>C</w:t>
      </w:r>
      <w:r w:rsidR="00C603AB" w:rsidRPr="00C603AB">
        <w:rPr>
          <w:rFonts w:cs="Times New Roman"/>
          <w:iCs/>
          <w:vertAlign w:val="subscript"/>
        </w:rPr>
        <w:t>enamel</w:t>
      </w:r>
      <w:r w:rsidR="00C603AB">
        <w:rPr>
          <w:rFonts w:cs="Times New Roman"/>
        </w:rPr>
        <w:t xml:space="preserve"> reported in Table 2, w</w:t>
      </w:r>
      <w:r>
        <w:rPr>
          <w:rFonts w:cs="Times New Roman"/>
        </w:rPr>
        <w:t xml:space="preserve">e obtained </w:t>
      </w:r>
      <w:r w:rsidR="00C603AB">
        <w:rPr>
          <w:rFonts w:cs="Times New Roman"/>
        </w:rPr>
        <w:t xml:space="preserve">a mean nominal </w:t>
      </w:r>
      <w:r w:rsidR="00C603AB" w:rsidRPr="00F56651">
        <w:rPr>
          <w:rFonts w:cs="Times New Roman"/>
        </w:rPr>
        <w:t>%C</w:t>
      </w:r>
      <w:r w:rsidR="00C603AB" w:rsidRPr="00EF51CE">
        <w:rPr>
          <w:rFonts w:cs="Times New Roman"/>
          <w:vertAlign w:val="subscript"/>
        </w:rPr>
        <w:t>4</w:t>
      </w:r>
      <w:r w:rsidR="00C603AB">
        <w:rPr>
          <w:rFonts w:cs="Times New Roman"/>
        </w:rPr>
        <w:t xml:space="preserve"> for MPL1 canine at 108 % </w:t>
      </w:r>
      <w:r w:rsidR="00C603AB" w:rsidRPr="004826A7">
        <w:rPr>
          <w:rFonts w:cs="Times New Roman"/>
        </w:rPr>
        <w:t>(10</w:t>
      </w:r>
      <w:r w:rsidR="00C603AB">
        <w:rPr>
          <w:rFonts w:cs="Times New Roman"/>
        </w:rPr>
        <w:t xml:space="preserve">3 % </w:t>
      </w:r>
      <w:r w:rsidR="00C603AB" w:rsidRPr="004826A7">
        <w:rPr>
          <w:rFonts w:cs="Times New Roman"/>
        </w:rPr>
        <w:t>– 11</w:t>
      </w:r>
      <w:r w:rsidR="00C603AB">
        <w:rPr>
          <w:rFonts w:cs="Times New Roman"/>
        </w:rPr>
        <w:t>8 % range</w:t>
      </w:r>
      <w:r w:rsidR="00C603AB" w:rsidRPr="004826A7">
        <w:rPr>
          <w:rFonts w:cs="Times New Roman"/>
        </w:rPr>
        <w:t>)</w:t>
      </w:r>
      <w:r w:rsidR="00C603AB">
        <w:rPr>
          <w:rFonts w:cs="Times New Roman"/>
        </w:rPr>
        <w:t xml:space="preserve"> and for MPL1 M3 at 92 % (</w:t>
      </w:r>
      <w:r w:rsidR="00C603AB" w:rsidRPr="004826A7">
        <w:rPr>
          <w:rFonts w:cs="Times New Roman"/>
        </w:rPr>
        <w:t>8</w:t>
      </w:r>
      <w:r w:rsidR="00C603AB">
        <w:rPr>
          <w:rFonts w:cs="Times New Roman"/>
        </w:rPr>
        <w:t xml:space="preserve">9 % </w:t>
      </w:r>
      <w:r w:rsidR="00C603AB" w:rsidRPr="004826A7">
        <w:rPr>
          <w:rFonts w:cs="Times New Roman"/>
        </w:rPr>
        <w:t>– 9</w:t>
      </w:r>
      <w:r w:rsidR="00C603AB">
        <w:rPr>
          <w:rFonts w:cs="Times New Roman"/>
        </w:rPr>
        <w:t xml:space="preserve">7 % range). </w:t>
      </w:r>
      <w:r w:rsidR="00C603AB">
        <w:rPr>
          <w:rFonts w:cs="Times New Roman"/>
        </w:rPr>
        <w:lastRenderedPageBreak/>
        <w:t xml:space="preserve">Similarly, the mean nominal </w:t>
      </w:r>
      <w:r w:rsidR="00C603AB" w:rsidRPr="00F56651">
        <w:rPr>
          <w:rFonts w:cs="Times New Roman"/>
        </w:rPr>
        <w:t>%C</w:t>
      </w:r>
      <w:r w:rsidR="00C603AB" w:rsidRPr="00EF51CE">
        <w:rPr>
          <w:rFonts w:cs="Times New Roman"/>
          <w:vertAlign w:val="subscript"/>
        </w:rPr>
        <w:t>4</w:t>
      </w:r>
      <w:r w:rsidR="00C603AB">
        <w:rPr>
          <w:rFonts w:cs="Times New Roman"/>
        </w:rPr>
        <w:t xml:space="preserve"> for MPL2 canine was at 103 % </w:t>
      </w:r>
      <w:r w:rsidR="00C603AB" w:rsidRPr="004826A7">
        <w:rPr>
          <w:rFonts w:cs="Times New Roman"/>
        </w:rPr>
        <w:t>(</w:t>
      </w:r>
      <w:r w:rsidR="00C603AB">
        <w:rPr>
          <w:rFonts w:cs="Times New Roman"/>
        </w:rPr>
        <w:t xml:space="preserve">98 % </w:t>
      </w:r>
      <w:r w:rsidR="00C603AB" w:rsidRPr="004826A7">
        <w:rPr>
          <w:rFonts w:cs="Times New Roman"/>
        </w:rPr>
        <w:t>– 11</w:t>
      </w:r>
      <w:r w:rsidR="00C603AB">
        <w:rPr>
          <w:rFonts w:cs="Times New Roman"/>
        </w:rPr>
        <w:t>1 % range</w:t>
      </w:r>
      <w:r w:rsidR="00C603AB" w:rsidRPr="004826A7">
        <w:rPr>
          <w:rFonts w:cs="Times New Roman"/>
        </w:rPr>
        <w:t>)</w:t>
      </w:r>
      <w:r w:rsidR="00C603AB">
        <w:rPr>
          <w:rFonts w:cs="Times New Roman"/>
        </w:rPr>
        <w:t xml:space="preserve"> and for MPL2 M3 at 89 % (</w:t>
      </w:r>
      <w:r w:rsidR="00C603AB" w:rsidRPr="004826A7">
        <w:rPr>
          <w:rFonts w:cs="Times New Roman"/>
        </w:rPr>
        <w:t>8</w:t>
      </w:r>
      <w:r w:rsidR="00C603AB">
        <w:rPr>
          <w:rFonts w:cs="Times New Roman"/>
        </w:rPr>
        <w:t xml:space="preserve">6 % </w:t>
      </w:r>
      <w:r w:rsidR="00C603AB" w:rsidRPr="004826A7">
        <w:rPr>
          <w:rFonts w:cs="Times New Roman"/>
        </w:rPr>
        <w:t>– 9</w:t>
      </w:r>
      <w:r w:rsidR="00C603AB">
        <w:rPr>
          <w:rFonts w:cs="Times New Roman"/>
        </w:rPr>
        <w:t xml:space="preserve">4 % range). Note that the nominal </w:t>
      </w:r>
      <w:r w:rsidR="00C603AB" w:rsidRPr="00F56651">
        <w:rPr>
          <w:rFonts w:cs="Times New Roman"/>
        </w:rPr>
        <w:t>%C</w:t>
      </w:r>
      <w:r w:rsidR="00C603AB" w:rsidRPr="00EF51CE">
        <w:rPr>
          <w:rFonts w:cs="Times New Roman"/>
          <w:vertAlign w:val="subscript"/>
        </w:rPr>
        <w:t>4</w:t>
      </w:r>
      <w:r w:rsidR="00C603AB">
        <w:rPr>
          <w:rFonts w:cs="Times New Roman"/>
        </w:rPr>
        <w:t xml:space="preserve"> </w:t>
      </w:r>
      <w:r w:rsidR="00C277FE">
        <w:rPr>
          <w:rFonts w:cs="Times New Roman"/>
        </w:rPr>
        <w:t xml:space="preserve">values </w:t>
      </w:r>
      <w:r w:rsidR="00C603AB">
        <w:rPr>
          <w:rFonts w:cs="Times New Roman"/>
        </w:rPr>
        <w:t>calculated from canine enamel</w:t>
      </w:r>
      <w:r w:rsidR="00C277FE">
        <w:rPr>
          <w:rFonts w:cs="Times New Roman"/>
        </w:rPr>
        <w:t xml:space="preserve"> </w:t>
      </w:r>
      <w:r w:rsidR="00C603AB">
        <w:rPr>
          <w:rFonts w:cs="Times New Roman"/>
        </w:rPr>
        <w:t>are consistently higher than 100</w:t>
      </w:r>
      <w:r w:rsidR="00967E2B">
        <w:rPr>
          <w:rFonts w:cs="Times New Roman"/>
        </w:rPr>
        <w:t xml:space="preserve"> </w:t>
      </w:r>
      <w:r w:rsidR="00C603AB">
        <w:rPr>
          <w:rFonts w:cs="Times New Roman"/>
        </w:rPr>
        <w:t>%</w:t>
      </w:r>
      <w:r w:rsidR="00C277FE">
        <w:rPr>
          <w:rFonts w:cs="Times New Roman"/>
        </w:rPr>
        <w:t>, while those calculated from M3s fall within a reasonable range</w:t>
      </w:r>
      <w:r w:rsidR="00C603AB">
        <w:rPr>
          <w:rFonts w:cs="Times New Roman"/>
        </w:rPr>
        <w:t xml:space="preserve">. This </w:t>
      </w:r>
      <w:r w:rsidR="00C277FE">
        <w:rPr>
          <w:rFonts w:cs="Times New Roman"/>
        </w:rPr>
        <w:t>reflects the fact that the</w:t>
      </w:r>
      <w:r w:rsidR="00C603AB">
        <w:rPr>
          <w:rFonts w:cs="Times New Roman"/>
        </w:rPr>
        <w:t xml:space="preserve"> enrichment factor </w:t>
      </w:r>
      <w:r w:rsidR="00C277FE">
        <w:rPr>
          <w:rFonts w:cs="Times New Roman"/>
        </w:rPr>
        <w:t>(</w:t>
      </w:r>
      <w:r w:rsidR="00C603AB">
        <w:rPr>
          <w:rFonts w:cs="Times New Roman"/>
        </w:rPr>
        <w:t>ε*</w:t>
      </w:r>
      <w:r w:rsidR="00C603AB" w:rsidRPr="00D973D5">
        <w:rPr>
          <w:rFonts w:cs="Times New Roman"/>
          <w:vertAlign w:val="subscript"/>
        </w:rPr>
        <w:t>diet-</w:t>
      </w:r>
      <w:r w:rsidR="00C603AB">
        <w:rPr>
          <w:rFonts w:cs="Times New Roman"/>
          <w:vertAlign w:val="subscript"/>
        </w:rPr>
        <w:t>enamel</w:t>
      </w:r>
      <w:r w:rsidR="00C603AB">
        <w:rPr>
          <w:rFonts w:cs="Times New Roman"/>
        </w:rPr>
        <w:t xml:space="preserve"> = 13.3 </w:t>
      </w:r>
      <w:r w:rsidR="00C603AB" w:rsidRPr="00F56651">
        <w:rPr>
          <w:rFonts w:cs="Times New Roman"/>
        </w:rPr>
        <w:t>‰</w:t>
      </w:r>
      <w:r w:rsidR="00C277FE">
        <w:rPr>
          <w:rFonts w:cs="Times New Roman"/>
        </w:rPr>
        <w:t>)</w:t>
      </w:r>
      <w:r w:rsidR="00C603AB">
        <w:rPr>
          <w:rFonts w:cs="Times New Roman"/>
        </w:rPr>
        <w:t xml:space="preserve"> </w:t>
      </w:r>
      <w:r w:rsidR="000C7EBD">
        <w:rPr>
          <w:rFonts w:cs="Times New Roman"/>
        </w:rPr>
        <w:t>being used here is an important assumption</w:t>
      </w:r>
      <w:r w:rsidR="00482A0D">
        <w:rPr>
          <w:rFonts w:cs="Times New Roman"/>
        </w:rPr>
        <w:t xml:space="preserve"> and that it may vary </w:t>
      </w:r>
      <w:r w:rsidR="00E77680">
        <w:rPr>
          <w:rFonts w:cs="Times New Roman"/>
        </w:rPr>
        <w:t>among</w:t>
      </w:r>
      <w:r w:rsidR="00482A0D">
        <w:rPr>
          <w:rFonts w:cs="Times New Roman"/>
        </w:rPr>
        <w:t xml:space="preserve"> individuals </w:t>
      </w:r>
      <w:r w:rsidR="00394AD5">
        <w:rPr>
          <w:rFonts w:cs="Times New Roman"/>
        </w:rPr>
        <w:fldChar w:fldCharType="begin"/>
      </w:r>
      <w:r w:rsidR="00394AD5">
        <w:rPr>
          <w:rFonts w:cs="Times New Roman"/>
        </w:rPr>
        <w:instrText xml:space="preserve"> ADDIN EN.CITE &lt;EndNote&gt;&lt;Cite&gt;&lt;Author&gt;Warinner&lt;/Author&gt;&lt;Year&gt;2010&lt;/Year&gt;&lt;RecNum&gt;992&lt;/RecNum&gt;&lt;Prefix&gt;e.g.`, &lt;/Prefix&gt;&lt;DisplayText&gt;(e.g., Warinner and Tuross, 2010)&lt;/DisplayText&gt;&lt;record&gt;&lt;rec-number&gt;992&lt;/rec-number&gt;&lt;foreign-keys&gt;&lt;key app="EN" db-id="tfdrzwraavd093eezvk5z5ehd2xvxse2wfar" timestamp="1581110091"&gt;992&lt;/key&gt;&lt;/foreign-keys&gt;&lt;ref-type name="Journal Article"&gt;17&lt;/ref-type&gt;&lt;contributors&gt;&lt;authors&gt;&lt;author&gt;Warinner, Christina&lt;/author&gt;&lt;author&gt;Tuross, Noreen&lt;/author&gt;&lt;/authors&gt;&lt;/contributors&gt;&lt;titles&gt;&lt;title&gt;Brief communication: Tissue isotopic enrichment associated with growth depression in a pig: Implications for archaeology and ecology&lt;/title&gt;&lt;secondary-title&gt;American Journal of Physical Anthropology&lt;/secondary-title&gt;&lt;/titles&gt;&lt;periodical&gt;&lt;full-title&gt;American Journal of Physical Anthropology&lt;/full-title&gt;&lt;abbr-1&gt;Am J Phys Anthropol&lt;/abbr-1&gt;&lt;abbr-2&gt;Am. J. Phys. Anthropol.&lt;/abbr-2&gt;&lt;/periodical&gt;&lt;pages&gt;486-493&lt;/pages&gt;&lt;volume&gt;141&lt;/volume&gt;&lt;number&gt;3&lt;/number&gt;&lt;dates&gt;&lt;year&gt;2010&lt;/year&gt;&lt;/dates&gt;&lt;isbn&gt;0002-9483&lt;/isbn&gt;&lt;urls&gt;&lt;related-urls&gt;&lt;url&gt;https://onlinelibrary.wiley.com/doi/abs/10.1002/ajpa.21222&lt;/url&gt;&lt;/related-urls&gt;&lt;/urls&gt;&lt;electronic-resource-num&gt;10.1002/ajpa.21222&lt;/electronic-resource-num&gt;&lt;/record&gt;&lt;/Cite&gt;&lt;/EndNote&gt;</w:instrText>
      </w:r>
      <w:r w:rsidR="00394AD5">
        <w:rPr>
          <w:rFonts w:cs="Times New Roman"/>
        </w:rPr>
        <w:fldChar w:fldCharType="separate"/>
      </w:r>
      <w:r w:rsidR="00394AD5">
        <w:rPr>
          <w:rFonts w:cs="Times New Roman"/>
          <w:noProof/>
        </w:rPr>
        <w:t>(</w:t>
      </w:r>
      <w:hyperlink w:anchor="_ENREF_21" w:tooltip="Warinner, 2010 #992" w:history="1">
        <w:r w:rsidR="000B3CB2">
          <w:rPr>
            <w:rFonts w:cs="Times New Roman"/>
            <w:noProof/>
          </w:rPr>
          <w:t>e.g., Warinner and Tuross, 2010</w:t>
        </w:r>
      </w:hyperlink>
      <w:r w:rsidR="00394AD5">
        <w:rPr>
          <w:rFonts w:cs="Times New Roman"/>
          <w:noProof/>
        </w:rPr>
        <w:t>)</w:t>
      </w:r>
      <w:r w:rsidR="00394AD5">
        <w:rPr>
          <w:rFonts w:cs="Times New Roman"/>
        </w:rPr>
        <w:fldChar w:fldCharType="end"/>
      </w:r>
      <w:r w:rsidR="000C7EBD">
        <w:rPr>
          <w:rFonts w:cs="Times New Roman"/>
        </w:rPr>
        <w:t>. It seems to be</w:t>
      </w:r>
      <w:r w:rsidR="00C277FE">
        <w:rPr>
          <w:rFonts w:cs="Times New Roman"/>
        </w:rPr>
        <w:t xml:space="preserve"> suitable for dietary estimates of molar enamel</w:t>
      </w:r>
      <w:r w:rsidR="000C7EBD">
        <w:rPr>
          <w:rFonts w:cs="Times New Roman"/>
        </w:rPr>
        <w:t>, but not suitable for estimates of canine enamel</w:t>
      </w:r>
      <w:r w:rsidR="00C277FE">
        <w:rPr>
          <w:rFonts w:cs="Times New Roman"/>
        </w:rPr>
        <w:t>. The</w:t>
      </w:r>
      <w:r w:rsidR="000C7EBD">
        <w:rPr>
          <w:rFonts w:cs="Times New Roman"/>
        </w:rPr>
        <w:t>se</w:t>
      </w:r>
      <w:r w:rsidR="00C277FE">
        <w:rPr>
          <w:rFonts w:cs="Times New Roman"/>
        </w:rPr>
        <w:t xml:space="preserve"> results are</w:t>
      </w:r>
      <w:r w:rsidR="00C603AB">
        <w:rPr>
          <w:rFonts w:cs="Times New Roman"/>
        </w:rPr>
        <w:t xml:space="preserve"> </w:t>
      </w:r>
      <w:r w:rsidR="00C277FE">
        <w:rPr>
          <w:rFonts w:cs="Times New Roman"/>
        </w:rPr>
        <w:t xml:space="preserve">also consistent with our finding that </w:t>
      </w:r>
      <w:r w:rsidR="000C7EBD">
        <w:rPr>
          <w:rFonts w:cs="Times New Roman"/>
        </w:rPr>
        <w:t>an</w:t>
      </w:r>
      <w:r w:rsidR="00C277FE">
        <w:rPr>
          <w:rFonts w:cs="Times New Roman"/>
        </w:rPr>
        <w:t xml:space="preserve"> isotope spacing </w:t>
      </w:r>
      <w:r w:rsidR="000C7EBD">
        <w:rPr>
          <w:rFonts w:cs="Times New Roman"/>
        </w:rPr>
        <w:t xml:space="preserve">exists </w:t>
      </w:r>
      <w:r w:rsidR="00C277FE">
        <w:rPr>
          <w:rFonts w:cs="Times New Roman"/>
        </w:rPr>
        <w:t xml:space="preserve">between </w:t>
      </w:r>
      <w:r w:rsidR="000C7EBD">
        <w:rPr>
          <w:rFonts w:cs="Times New Roman"/>
        </w:rPr>
        <w:t>canine and molar enamel.</w:t>
      </w:r>
    </w:p>
    <w:p w14:paraId="6EB0B344" w14:textId="77777777" w:rsidR="00F748E6" w:rsidRPr="00C603AB" w:rsidRDefault="00F748E6" w:rsidP="007561F6">
      <w:pPr>
        <w:rPr>
          <w:rFonts w:cs="Times New Roman"/>
        </w:rPr>
      </w:pPr>
    </w:p>
    <w:p w14:paraId="3329BE59" w14:textId="77777777" w:rsidR="007561F6" w:rsidRPr="00F56651" w:rsidRDefault="007561F6" w:rsidP="007561F6">
      <w:pPr>
        <w:rPr>
          <w:rFonts w:cs="Times New Roman"/>
          <w:b/>
        </w:rPr>
      </w:pPr>
      <w:r>
        <w:rPr>
          <w:rFonts w:cs="Times New Roman"/>
          <w:b/>
        </w:rPr>
        <w:t>6. I</w:t>
      </w:r>
      <w:r w:rsidRPr="00F56651">
        <w:rPr>
          <w:rFonts w:cs="Times New Roman"/>
          <w:b/>
        </w:rPr>
        <w:t xml:space="preserve">nverse modeling procedure </w:t>
      </w:r>
    </w:p>
    <w:p w14:paraId="63782BC1" w14:textId="281E376B" w:rsidR="007561F6" w:rsidRDefault="007561F6" w:rsidP="007561F6">
      <w:pPr>
        <w:rPr>
          <w:rFonts w:cs="Times New Roman"/>
        </w:rPr>
      </w:pPr>
      <w:r>
        <w:rPr>
          <w:rFonts w:cs="Times New Roman"/>
        </w:rPr>
        <w:tab/>
      </w:r>
      <w:r w:rsidRPr="00F56651">
        <w:rPr>
          <w:rFonts w:cs="Times New Roman"/>
        </w:rPr>
        <w:t xml:space="preserve">The inverse model </w:t>
      </w:r>
      <w:r>
        <w:rPr>
          <w:rFonts w:cs="Times New Roman"/>
        </w:rPr>
        <w:fldChar w:fldCharType="begin"/>
      </w:r>
      <w:r>
        <w:rPr>
          <w:rFonts w:cs="Times New Roman"/>
        </w:rPr>
        <w:instrText xml:space="preserve"> ADDIN EN.CITE &lt;EndNote&gt;&lt;Cite&gt;&lt;Author&gt;Passey&lt;/Author&gt;&lt;Year&gt;2005&lt;/Year&gt;&lt;RecNum&gt;75&lt;/RecNum&gt;&lt;DisplayText&gt;(Passey et al., 2005a)&lt;/DisplayText&gt;&lt;record&gt;&lt;rec-number&gt;75&lt;/rec-number&gt;&lt;foreign-keys&gt;&lt;key app="EN" db-id="tfdrzwraavd093eezvk5z5ehd2xvxse2wfar" timestamp="1472560842"&gt;75&lt;/key&gt;&lt;/foreign-keys&gt;&lt;ref-type name="Journal Article"&gt;17&lt;/ref-type&gt;&lt;contributors&gt;&lt;authors&gt;&lt;author&gt;Passey, Benjamin H.&lt;/author&gt;&lt;author&gt;Cerling, Thure E.&lt;/author&gt;&lt;author&gt;Schuster, Gerard T.&lt;/author&gt;&lt;author&gt;Robinson, Todd F.&lt;/author&gt;&lt;author&gt;Roeder, Beverly L.&lt;/author&gt;&lt;author&gt;Krueger, Stephen K.&lt;/author&gt;&lt;/authors&gt;&lt;/contributors&gt;&lt;titles&gt;&lt;title&gt;Inverse methods for estimating primary input signals from time-averaged isotope profiles&lt;/title&gt;&lt;secondary-title&gt;Geochimica et Cosmochimica Acta&lt;/secondary-title&gt;&lt;/titles&gt;&lt;periodical&gt;&lt;full-title&gt;Geochimica et Cosmochimica Acta&lt;/full-title&gt;&lt;abbr-1&gt;Geochim Cosmochim Acta&lt;/abbr-1&gt;&lt;abbr-2&gt;Geochim. Cosmochim. Acta&lt;/abbr-2&gt;&lt;/periodical&gt;&lt;pages&gt;4101-4116&lt;/pages&gt;&lt;volume&gt;69&lt;/volume&gt;&lt;number&gt;16&lt;/number&gt;&lt;dates&gt;&lt;year&gt;2005&lt;/year&gt;&lt;pub-dates&gt;&lt;date&gt;8/15/&lt;/date&gt;&lt;/pub-dates&gt;&lt;/dates&gt;&lt;isbn&gt;0016-7037&lt;/isbn&gt;&lt;urls&gt;&lt;related-urls&gt;&lt;url&gt;http://www.sciencedirect.com/science/article/pii/S0016703704009573&lt;/url&gt;&lt;/related-urls&gt;&lt;/urls&gt;&lt;electronic-resource-num&gt;http://dx.doi.org/10.1016/j.gca.2004.12.002&lt;/electronic-resource-num&gt;&lt;/record&gt;&lt;/Cite&gt;&lt;/EndNote&gt;</w:instrText>
      </w:r>
      <w:r>
        <w:rPr>
          <w:rFonts w:cs="Times New Roman"/>
        </w:rPr>
        <w:fldChar w:fldCharType="separate"/>
      </w:r>
      <w:r>
        <w:rPr>
          <w:rFonts w:cs="Times New Roman"/>
          <w:noProof/>
        </w:rPr>
        <w:t>(</w:t>
      </w:r>
      <w:hyperlink w:anchor="_ENREF_15" w:tooltip="Passey, 2005 #75" w:history="1">
        <w:r w:rsidR="000B3CB2">
          <w:rPr>
            <w:rFonts w:cs="Times New Roman"/>
            <w:noProof/>
          </w:rPr>
          <w:t>Passey et al., 2005a</w:t>
        </w:r>
      </w:hyperlink>
      <w:r>
        <w:rPr>
          <w:rFonts w:cs="Times New Roman"/>
          <w:noProof/>
        </w:rPr>
        <w:t>)</w:t>
      </w:r>
      <w:r>
        <w:rPr>
          <w:rFonts w:cs="Times New Roman"/>
        </w:rPr>
        <w:fldChar w:fldCharType="end"/>
      </w:r>
      <w:r>
        <w:rPr>
          <w:rFonts w:cs="Times New Roman"/>
        </w:rPr>
        <w:t xml:space="preserve"> </w:t>
      </w:r>
      <w:r w:rsidRPr="00F56651">
        <w:rPr>
          <w:rFonts w:cs="Times New Roman"/>
        </w:rPr>
        <w:t xml:space="preserve">requires input parameters related to tooth formation, isotope sampling geometry, and isotope analysis. The inverse model assumes </w:t>
      </w:r>
      <w:r>
        <w:rPr>
          <w:rFonts w:cs="Times New Roman"/>
        </w:rPr>
        <w:t xml:space="preserve">a </w:t>
      </w:r>
      <w:r w:rsidRPr="00F56651">
        <w:rPr>
          <w:rFonts w:cs="Times New Roman"/>
        </w:rPr>
        <w:t xml:space="preserve">constant growth rate, a mineralization process that starts immediately after enamel matrix secretion, and a mineralization geometry that is identical to the appositional geometry. Based on the growth and mineralization data of the canine, these assumptions </w:t>
      </w:r>
      <w:r>
        <w:rPr>
          <w:rFonts w:cs="Times New Roman"/>
        </w:rPr>
        <w:t>are</w:t>
      </w:r>
      <w:r w:rsidRPr="00F56651">
        <w:rPr>
          <w:rFonts w:cs="Times New Roman"/>
        </w:rPr>
        <w:t xml:space="preserve"> acceptable. Input parameters relevant to tooth enamel formation, or amelogenesis, include initial enamel density (</w:t>
      </w:r>
      <w:proofErr w:type="spellStart"/>
      <w:r w:rsidRPr="002A56FC">
        <w:rPr>
          <w:rFonts w:cs="Times New Roman"/>
          <w:i/>
        </w:rPr>
        <w:t>f</w:t>
      </w:r>
      <w:r w:rsidRPr="00491E0F">
        <w:rPr>
          <w:rFonts w:cs="Times New Roman"/>
          <w:i/>
          <w:vertAlign w:val="subscript"/>
        </w:rPr>
        <w:t>init</w:t>
      </w:r>
      <w:proofErr w:type="spellEnd"/>
      <w:r w:rsidRPr="00F56651">
        <w:rPr>
          <w:rFonts w:cs="Times New Roman"/>
        </w:rPr>
        <w:t>), enamel appositional length (</w:t>
      </w:r>
      <w:r w:rsidRPr="002A56FC">
        <w:rPr>
          <w:rFonts w:cs="Times New Roman"/>
          <w:i/>
        </w:rPr>
        <w:t>la</w:t>
      </w:r>
      <w:r w:rsidRPr="00F56651">
        <w:rPr>
          <w:rFonts w:cs="Times New Roman"/>
        </w:rPr>
        <w:t>)</w:t>
      </w:r>
      <w:r>
        <w:rPr>
          <w:rFonts w:cs="Times New Roman"/>
        </w:rPr>
        <w:t>,</w:t>
      </w:r>
      <w:r w:rsidRPr="00F56651">
        <w:rPr>
          <w:rFonts w:cs="Times New Roman"/>
        </w:rPr>
        <w:t xml:space="preserve"> and maturation length (</w:t>
      </w:r>
      <w:proofErr w:type="spellStart"/>
      <w:r w:rsidRPr="002A56FC">
        <w:rPr>
          <w:rFonts w:cs="Times New Roman"/>
          <w:i/>
        </w:rPr>
        <w:t>lm</w:t>
      </w:r>
      <w:proofErr w:type="spellEnd"/>
      <w:r w:rsidRPr="00F56651">
        <w:rPr>
          <w:rFonts w:cs="Times New Roman"/>
        </w:rPr>
        <w:t>)</w:t>
      </w:r>
      <w:r>
        <w:rPr>
          <w:rFonts w:cs="Times New Roman"/>
        </w:rPr>
        <w:t xml:space="preserve"> </w:t>
      </w:r>
      <w:r>
        <w:rPr>
          <w:rFonts w:cs="Times New Roman"/>
        </w:rPr>
        <w:fldChar w:fldCharType="begin"/>
      </w:r>
      <w:r>
        <w:rPr>
          <w:rFonts w:cs="Times New Roman"/>
        </w:rPr>
        <w:instrText xml:space="preserve"> ADDIN EN.CITE &lt;EndNote&gt;&lt;Cite&gt;&lt;Author&gt;Passey&lt;/Author&gt;&lt;Year&gt;2002&lt;/Year&gt;&lt;RecNum&gt;179&lt;/RecNum&gt;&lt;DisplayText&gt;(Passey and Cerling, 2002)&lt;/DisplayText&gt;&lt;record&gt;&lt;rec-number&gt;179&lt;/rec-number&gt;&lt;foreign-keys&gt;&lt;key app="EN" db-id="tfdrzwraavd093eezvk5z5ehd2xvxse2wfar" timestamp="1472560847"&gt;179&lt;/key&gt;&lt;/foreign-keys&gt;&lt;ref-type name="Journal Article"&gt;17&lt;/ref-type&gt;&lt;contributors&gt;&lt;authors&gt;&lt;author&gt;Passey, Benjamin H&lt;/author&gt;&lt;author&gt;Cerling, Thure E&lt;/author&gt;&lt;/authors&gt;&lt;/contributors&gt;&lt;titles&gt;&lt;title&gt;Tooth enamel mineralization in ungulates: implications for recovering a primary isotopic time-series&lt;/title&gt;&lt;secondary-title&gt;Geochimica et Cosmochimica Acta&lt;/secondary-title&gt;&lt;/titles&gt;&lt;periodical&gt;&lt;full-title&gt;Geochimica et Cosmochimica Acta&lt;/full-title&gt;&lt;abbr-1&gt;Geochim Cosmochim Acta&lt;/abbr-1&gt;&lt;abbr-2&gt;Geochim. Cosmochim. Acta&lt;/abbr-2&gt;&lt;/periodical&gt;&lt;pages&gt;3225-3234&lt;/pages&gt;&lt;volume&gt;66&lt;/volume&gt;&lt;number&gt;18&lt;/number&gt;&lt;dates&gt;&lt;year&gt;2002&lt;/year&gt;&lt;/dates&gt;&lt;isbn&gt;0016-7037&lt;/isbn&gt;&lt;urls&gt;&lt;/urls&gt;&lt;/record&gt;&lt;/Cite&gt;&lt;/EndNote&gt;</w:instrText>
      </w:r>
      <w:r>
        <w:rPr>
          <w:rFonts w:cs="Times New Roman"/>
        </w:rPr>
        <w:fldChar w:fldCharType="separate"/>
      </w:r>
      <w:r>
        <w:rPr>
          <w:rFonts w:cs="Times New Roman"/>
          <w:noProof/>
        </w:rPr>
        <w:t>(</w:t>
      </w:r>
      <w:hyperlink w:anchor="_ENREF_13" w:tooltip="Passey, 2002 #179" w:history="1">
        <w:r w:rsidR="000B3CB2">
          <w:rPr>
            <w:rFonts w:cs="Times New Roman"/>
            <w:noProof/>
          </w:rPr>
          <w:t>Passey and Cerling, 2002</w:t>
        </w:r>
      </w:hyperlink>
      <w:r>
        <w:rPr>
          <w:rFonts w:cs="Times New Roman"/>
          <w:noProof/>
        </w:rPr>
        <w:t>)</w:t>
      </w:r>
      <w:r>
        <w:rPr>
          <w:rFonts w:cs="Times New Roman"/>
        </w:rPr>
        <w:fldChar w:fldCharType="end"/>
      </w:r>
      <w:r w:rsidRPr="00F56651">
        <w:rPr>
          <w:rFonts w:cs="Times New Roman"/>
        </w:rPr>
        <w:t>. We use</w:t>
      </w:r>
      <w:r w:rsidR="00D97BEC">
        <w:rPr>
          <w:rFonts w:cs="Times New Roman"/>
        </w:rPr>
        <w:t>d</w:t>
      </w:r>
      <w:r w:rsidRPr="00F56651">
        <w:rPr>
          <w:rFonts w:cs="Times New Roman"/>
        </w:rPr>
        <w:t xml:space="preserve"> the initial enamel density of the third molar: </w:t>
      </w:r>
      <w:proofErr w:type="spellStart"/>
      <w:r w:rsidRPr="002A56FC">
        <w:rPr>
          <w:rFonts w:cs="Times New Roman"/>
          <w:i/>
        </w:rPr>
        <w:t>f</w:t>
      </w:r>
      <w:r w:rsidRPr="00491E0F">
        <w:rPr>
          <w:rFonts w:cs="Times New Roman"/>
          <w:i/>
          <w:vertAlign w:val="subscript"/>
        </w:rPr>
        <w:t>init</w:t>
      </w:r>
      <w:proofErr w:type="spellEnd"/>
      <w:r w:rsidRPr="00F56651">
        <w:rPr>
          <w:rFonts w:cs="Times New Roman"/>
        </w:rPr>
        <w:t xml:space="preserve"> = </w:t>
      </w:r>
      <w:r>
        <w:rPr>
          <w:rFonts w:cs="Times New Roman"/>
        </w:rPr>
        <w:t>0.45 (Table 4)</w:t>
      </w:r>
      <w:r w:rsidRPr="00F56651">
        <w:rPr>
          <w:rFonts w:cs="Times New Roman"/>
        </w:rPr>
        <w:t xml:space="preserve">. Enamel appositional length was calculated using average canine appositional angle </w:t>
      </w:r>
      <w:r>
        <w:rPr>
          <w:rFonts w:cs="Times New Roman"/>
        </w:rPr>
        <w:t xml:space="preserve">(enamel formation front angle) </w:t>
      </w:r>
      <w:r w:rsidRPr="00F56651">
        <w:rPr>
          <w:rFonts w:cs="Times New Roman"/>
        </w:rPr>
        <w:t xml:space="preserve">and average canine enamel thickness (~200 </w:t>
      </w:r>
      <w:r>
        <w:t>µm</w:t>
      </w:r>
      <w:r w:rsidRPr="00F56651">
        <w:rPr>
          <w:rFonts w:cs="Times New Roman"/>
        </w:rPr>
        <w:t>). Th</w:t>
      </w:r>
      <w:r>
        <w:rPr>
          <w:rFonts w:cs="Times New Roman"/>
        </w:rPr>
        <w:t>is</w:t>
      </w:r>
      <w:r w:rsidRPr="00F56651">
        <w:rPr>
          <w:rFonts w:cs="Times New Roman"/>
        </w:rPr>
        <w:t xml:space="preserve"> resulted in an </w:t>
      </w:r>
      <w:r w:rsidRPr="002A56FC">
        <w:rPr>
          <w:rFonts w:cs="Times New Roman"/>
          <w:i/>
        </w:rPr>
        <w:t>la</w:t>
      </w:r>
      <w:r w:rsidRPr="00F56651">
        <w:rPr>
          <w:rFonts w:cs="Times New Roman"/>
        </w:rPr>
        <w:t xml:space="preserve"> = 4.66 mm. A second estimate of </w:t>
      </w:r>
      <w:r w:rsidRPr="002A56FC">
        <w:rPr>
          <w:rFonts w:cs="Times New Roman"/>
          <w:i/>
        </w:rPr>
        <w:t xml:space="preserve">la </w:t>
      </w:r>
      <w:r w:rsidRPr="00B600F3">
        <w:rPr>
          <w:rFonts w:cs="Times New Roman"/>
        </w:rPr>
        <w:t>was made</w:t>
      </w:r>
      <w:r w:rsidRPr="00F56651">
        <w:rPr>
          <w:rFonts w:cs="Times New Roman"/>
        </w:rPr>
        <w:t xml:space="preserve"> </w:t>
      </w:r>
      <w:r>
        <w:rPr>
          <w:rFonts w:cs="Times New Roman"/>
        </w:rPr>
        <w:t>b</w:t>
      </w:r>
      <w:r w:rsidRPr="00F56651">
        <w:rPr>
          <w:rFonts w:cs="Times New Roman"/>
        </w:rPr>
        <w:t xml:space="preserve">y measuring the distance </w:t>
      </w:r>
      <w:r>
        <w:rPr>
          <w:rFonts w:cs="Times New Roman"/>
        </w:rPr>
        <w:t>from</w:t>
      </w:r>
      <w:r w:rsidRPr="00F56651">
        <w:rPr>
          <w:rFonts w:cs="Times New Roman"/>
        </w:rPr>
        <w:t xml:space="preserve"> the tip of the dentin formation front to the edge of enamel that is preserved. This approach resulted in an </w:t>
      </w:r>
      <w:r w:rsidRPr="002A56FC">
        <w:rPr>
          <w:rFonts w:cs="Times New Roman"/>
          <w:i/>
        </w:rPr>
        <w:t>la</w:t>
      </w:r>
      <w:r w:rsidRPr="00F56651">
        <w:rPr>
          <w:rFonts w:cs="Times New Roman"/>
        </w:rPr>
        <w:t xml:space="preserve">’ = 5.02 mm. Since these two independent estimates are very similar, we used the average value </w:t>
      </w:r>
      <w:r w:rsidRPr="003D4388">
        <w:rPr>
          <w:rFonts w:cs="Times New Roman"/>
          <w:i/>
        </w:rPr>
        <w:t>la</w:t>
      </w:r>
      <w:r w:rsidRPr="003D4388">
        <w:rPr>
          <w:rFonts w:cs="Times New Roman"/>
        </w:rPr>
        <w:t xml:space="preserve"> = 4.8 mm </w:t>
      </w:r>
      <w:r w:rsidRPr="00F56651">
        <w:rPr>
          <w:rFonts w:cs="Times New Roman"/>
        </w:rPr>
        <w:t xml:space="preserve">as our model </w:t>
      </w:r>
      <w:r w:rsidRPr="00F56651">
        <w:rPr>
          <w:rFonts w:cs="Times New Roman"/>
        </w:rPr>
        <w:lastRenderedPageBreak/>
        <w:t xml:space="preserve">input. </w:t>
      </w:r>
      <w:proofErr w:type="spellStart"/>
      <w:r w:rsidRPr="002A56FC">
        <w:rPr>
          <w:rFonts w:cs="Times New Roman"/>
          <w:i/>
        </w:rPr>
        <w:t>lm</w:t>
      </w:r>
      <w:proofErr w:type="spellEnd"/>
      <w:r w:rsidRPr="00F56651">
        <w:rPr>
          <w:rFonts w:cs="Times New Roman"/>
        </w:rPr>
        <w:t xml:space="preserve"> was measured from the beginning of the canine enamel edge to the 90</w:t>
      </w:r>
      <w:r>
        <w:rPr>
          <w:rFonts w:cs="Times New Roman"/>
        </w:rPr>
        <w:t xml:space="preserve"> </w:t>
      </w:r>
      <w:r w:rsidRPr="00F56651">
        <w:rPr>
          <w:rFonts w:cs="Times New Roman"/>
        </w:rPr>
        <w:t xml:space="preserve">% added mineral density line, </w:t>
      </w:r>
      <w:r w:rsidR="000E70E2">
        <w:rPr>
          <w:rFonts w:cs="Times New Roman"/>
        </w:rPr>
        <w:t>corresponding to</w:t>
      </w:r>
      <w:r w:rsidRPr="00F56651">
        <w:rPr>
          <w:rFonts w:cs="Times New Roman"/>
        </w:rPr>
        <w:t xml:space="preserve"> about 95</w:t>
      </w:r>
      <w:r>
        <w:rPr>
          <w:rFonts w:cs="Times New Roman"/>
        </w:rPr>
        <w:t xml:space="preserve"> </w:t>
      </w:r>
      <w:r w:rsidRPr="00F56651">
        <w:rPr>
          <w:rFonts w:cs="Times New Roman"/>
        </w:rPr>
        <w:t xml:space="preserve">% density of the fully mature canine enamel, which is ~ 12 mm. We used </w:t>
      </w:r>
      <w:proofErr w:type="spellStart"/>
      <w:r w:rsidRPr="002A56FC">
        <w:rPr>
          <w:rFonts w:cs="Times New Roman"/>
          <w:i/>
        </w:rPr>
        <w:t>lm</w:t>
      </w:r>
      <w:proofErr w:type="spellEnd"/>
      <w:r w:rsidRPr="00F56651">
        <w:rPr>
          <w:rFonts w:cs="Times New Roman"/>
        </w:rPr>
        <w:t xml:space="preserve"> =12</w:t>
      </w:r>
      <w:r>
        <w:rPr>
          <w:rFonts w:cs="Times New Roman"/>
        </w:rPr>
        <w:t xml:space="preserve"> </w:t>
      </w:r>
      <w:r w:rsidRPr="00F56651">
        <w:rPr>
          <w:rFonts w:cs="Times New Roman"/>
        </w:rPr>
        <w:t>mm. Sample input variables</w:t>
      </w:r>
      <w:r>
        <w:rPr>
          <w:rFonts w:cs="Times New Roman"/>
        </w:rPr>
        <w:t>,</w:t>
      </w:r>
      <w:r w:rsidRPr="00F56651">
        <w:rPr>
          <w:rFonts w:cs="Times New Roman"/>
        </w:rPr>
        <w:t xml:space="preserve"> includ</w:t>
      </w:r>
      <w:r>
        <w:rPr>
          <w:rFonts w:cs="Times New Roman"/>
        </w:rPr>
        <w:t>ing</w:t>
      </w:r>
      <w:r w:rsidRPr="00F56651">
        <w:rPr>
          <w:rFonts w:cs="Times New Roman"/>
        </w:rPr>
        <w:t xml:space="preserve"> isotope measurement precision, distance between samples, depths</w:t>
      </w:r>
      <w:r>
        <w:rPr>
          <w:rFonts w:cs="Times New Roman"/>
        </w:rPr>
        <w:t>,</w:t>
      </w:r>
      <w:r w:rsidRPr="00F56651">
        <w:rPr>
          <w:rFonts w:cs="Times New Roman"/>
        </w:rPr>
        <w:t xml:space="preserve"> and their respective errors</w:t>
      </w:r>
      <w:r>
        <w:rPr>
          <w:rFonts w:cs="Times New Roman"/>
        </w:rPr>
        <w:t>,</w:t>
      </w:r>
      <w:r w:rsidRPr="00F56651">
        <w:rPr>
          <w:rFonts w:cs="Times New Roman"/>
        </w:rPr>
        <w:t xml:space="preserve"> are listed in Supplementary S2. </w:t>
      </w:r>
    </w:p>
    <w:p w14:paraId="143379A3" w14:textId="77777777" w:rsidR="007561F6" w:rsidRPr="00F56651" w:rsidRDefault="007561F6" w:rsidP="007561F6">
      <w:pPr>
        <w:rPr>
          <w:rFonts w:cs="Times New Roman"/>
        </w:rPr>
      </w:pPr>
    </w:p>
    <w:p w14:paraId="15CE129F" w14:textId="5F975F53" w:rsidR="007561F6" w:rsidRDefault="007561F6" w:rsidP="007561F6">
      <w:pPr>
        <w:rPr>
          <w:rFonts w:cs="Times New Roman"/>
        </w:rPr>
      </w:pPr>
      <w:r>
        <w:rPr>
          <w:rFonts w:cs="Times New Roman"/>
        </w:rPr>
        <w:tab/>
      </w:r>
      <w:r w:rsidRPr="00F56651">
        <w:rPr>
          <w:rFonts w:cs="Times New Roman"/>
        </w:rPr>
        <w:t xml:space="preserve">For each canine profile, a measured error term, </w:t>
      </w:r>
      <w:r w:rsidRPr="002A56FC">
        <w:rPr>
          <w:rFonts w:cs="Times New Roman"/>
          <w:i/>
        </w:rPr>
        <w:t>E</w:t>
      </w:r>
      <w:r w:rsidRPr="002A56FC">
        <w:rPr>
          <w:rFonts w:cs="Times New Roman"/>
          <w:i/>
          <w:vertAlign w:val="subscript"/>
        </w:rPr>
        <w:t>meas</w:t>
      </w:r>
      <w:r w:rsidRPr="00F56651">
        <w:rPr>
          <w:rFonts w:cs="Times New Roman"/>
        </w:rPr>
        <w:t>, is computed from measurement uncertainties in isotope values and sample measurements. This term is used to determine an appropriate damping factor (</w:t>
      </w:r>
      <w:r w:rsidRPr="002A56FC">
        <w:rPr>
          <w:rFonts w:cs="Times New Roman"/>
          <w:i/>
        </w:rPr>
        <w:t>ε</w:t>
      </w:r>
      <w:r w:rsidRPr="002A56FC">
        <w:rPr>
          <w:rFonts w:cs="Times New Roman"/>
          <w:i/>
          <w:vertAlign w:val="superscript"/>
        </w:rPr>
        <w:t>2</w:t>
      </w:r>
      <w:r w:rsidRPr="00F56651">
        <w:rPr>
          <w:rFonts w:cs="Times New Roman"/>
        </w:rPr>
        <w:t>) for the inverse model. We matched the model output of estimated error (</w:t>
      </w:r>
      <w:r w:rsidRPr="002A56FC">
        <w:rPr>
          <w:rFonts w:cs="Times New Roman"/>
          <w:i/>
        </w:rPr>
        <w:t>E</w:t>
      </w:r>
      <w:r w:rsidRPr="002A56FC">
        <w:rPr>
          <w:rFonts w:cs="Times New Roman"/>
          <w:i/>
          <w:vertAlign w:val="subscript"/>
        </w:rPr>
        <w:t>meas</w:t>
      </w:r>
      <w:r w:rsidRPr="00F56651">
        <w:rPr>
          <w:rFonts w:cs="Times New Roman"/>
        </w:rPr>
        <w:t>) and propagated error for the inverse predictions (</w:t>
      </w:r>
      <w:proofErr w:type="spellStart"/>
      <w:r w:rsidRPr="002A56FC">
        <w:rPr>
          <w:rFonts w:cs="Times New Roman"/>
          <w:i/>
        </w:rPr>
        <w:t>E</w:t>
      </w:r>
      <w:r w:rsidRPr="002A56FC">
        <w:rPr>
          <w:rFonts w:cs="Times New Roman"/>
          <w:i/>
          <w:vertAlign w:val="subscript"/>
        </w:rPr>
        <w:t>pred</w:t>
      </w:r>
      <w:proofErr w:type="spellEnd"/>
      <w:r w:rsidRPr="00F56651">
        <w:rPr>
          <w:rFonts w:cs="Times New Roman"/>
        </w:rPr>
        <w:t>) by choosing an appropriate damping factor for each canine profile (</w:t>
      </w:r>
      <w:r>
        <w:rPr>
          <w:rFonts w:cs="Times New Roman"/>
        </w:rPr>
        <w:t>S</w:t>
      </w:r>
      <w:r w:rsidRPr="00F56651">
        <w:rPr>
          <w:rFonts w:cs="Times New Roman"/>
        </w:rPr>
        <w:t xml:space="preserve">upplementary S2). </w:t>
      </w:r>
      <w:r w:rsidRPr="002A56FC">
        <w:rPr>
          <w:rFonts w:cs="Times New Roman"/>
        </w:rPr>
        <w:t xml:space="preserve">Model code was adopted from </w:t>
      </w:r>
      <w:hyperlink w:anchor="_ENREF_15" w:tooltip="Passey, 2005 #75" w:history="1">
        <w:r w:rsidR="000B3CB2" w:rsidRPr="002A56FC">
          <w:rPr>
            <w:rFonts w:cs="Times New Roman"/>
          </w:rPr>
          <w:fldChar w:fldCharType="begin"/>
        </w:r>
        <w:r w:rsidR="000B3CB2">
          <w:rPr>
            <w:rFonts w:cs="Times New Roman"/>
          </w:rPr>
          <w:instrText xml:space="preserve"> ADDIN EN.CITE &lt;EndNote&gt;&lt;Cite AuthorYear="1"&gt;&lt;Author&gt;Passey&lt;/Author&gt;&lt;Year&gt;2005&lt;/Year&gt;&lt;RecNum&gt;75&lt;/RecNum&gt;&lt;DisplayText&gt;Passey et al. (2005a)&lt;/DisplayText&gt;&lt;record&gt;&lt;rec-number&gt;75&lt;/rec-number&gt;&lt;foreign-keys&gt;&lt;key app="EN" db-id="tfdrzwraavd093eezvk5z5ehd2xvxse2wfar" timestamp="1472560842"&gt;75&lt;/key&gt;&lt;/foreign-keys&gt;&lt;ref-type name="Journal Article"&gt;17&lt;/ref-type&gt;&lt;contributors&gt;&lt;authors&gt;&lt;author&gt;Passey, Benjamin H.&lt;/author&gt;&lt;author&gt;Cerling, Thure E.&lt;/author&gt;&lt;author&gt;Schuster, Gerard T.&lt;/author&gt;&lt;author&gt;Robinson, Todd F.&lt;/author&gt;&lt;author&gt;Roeder, Beverly L.&lt;/author&gt;&lt;author&gt;Krueger, Stephen K.&lt;/author&gt;&lt;/authors&gt;&lt;/contributors&gt;&lt;titles&gt;&lt;title&gt;Inverse methods for estimating primary input signals from time-averaged isotope profiles&lt;/title&gt;&lt;secondary-title&gt;Geochimica et Cosmochimica Acta&lt;/secondary-title&gt;&lt;/titles&gt;&lt;periodical&gt;&lt;full-title&gt;Geochimica et Cosmochimica Acta&lt;/full-title&gt;&lt;abbr-1&gt;Geochim Cosmochim Acta&lt;/abbr-1&gt;&lt;abbr-2&gt;Geochim. Cosmochim. Acta&lt;/abbr-2&gt;&lt;/periodical&gt;&lt;pages&gt;4101-4116&lt;/pages&gt;&lt;volume&gt;69&lt;/volume&gt;&lt;number&gt;16&lt;/number&gt;&lt;dates&gt;&lt;year&gt;2005&lt;/year&gt;&lt;pub-dates&gt;&lt;date&gt;8/15/&lt;/date&gt;&lt;/pub-dates&gt;&lt;/dates&gt;&lt;isbn&gt;0016-7037&lt;/isbn&gt;&lt;urls&gt;&lt;related-urls&gt;&lt;url&gt;http://www.sciencedirect.com/science/article/pii/S0016703704009573&lt;/url&gt;&lt;/related-urls&gt;&lt;/urls&gt;&lt;electronic-resource-num&gt;http://dx.doi.org/10.1016/j.gca.2004.12.002&lt;/electronic-resource-num&gt;&lt;/record&gt;&lt;/Cite&gt;&lt;/EndNote&gt;</w:instrText>
        </w:r>
        <w:r w:rsidR="000B3CB2" w:rsidRPr="002A56FC">
          <w:rPr>
            <w:rFonts w:cs="Times New Roman"/>
          </w:rPr>
          <w:fldChar w:fldCharType="separate"/>
        </w:r>
        <w:r w:rsidR="000B3CB2">
          <w:rPr>
            <w:rFonts w:cs="Times New Roman"/>
            <w:noProof/>
          </w:rPr>
          <w:t>Passey et al. (2005a)</w:t>
        </w:r>
        <w:r w:rsidR="000B3CB2" w:rsidRPr="002A56FC">
          <w:rPr>
            <w:rFonts w:cs="Times New Roman"/>
          </w:rPr>
          <w:fldChar w:fldCharType="end"/>
        </w:r>
      </w:hyperlink>
      <w:r w:rsidRPr="002A56FC">
        <w:rPr>
          <w:rFonts w:cs="Times New Roman"/>
        </w:rPr>
        <w:t xml:space="preserve"> and run in MATLAB (v. R2019b). </w:t>
      </w:r>
    </w:p>
    <w:p w14:paraId="1DAD1E47" w14:textId="77777777" w:rsidR="007561F6" w:rsidRDefault="007561F6" w:rsidP="007561F6">
      <w:pPr>
        <w:rPr>
          <w:rFonts w:cs="Times New Roman"/>
        </w:rPr>
      </w:pPr>
    </w:p>
    <w:p w14:paraId="156F4C55" w14:textId="77777777" w:rsidR="007561F6" w:rsidRPr="00052BB1" w:rsidRDefault="007561F6" w:rsidP="007561F6">
      <w:pPr>
        <w:rPr>
          <w:rFonts w:cs="Times New Roman"/>
          <w:b/>
        </w:rPr>
      </w:pPr>
      <w:r>
        <w:rPr>
          <w:rFonts w:cs="Times New Roman"/>
          <w:b/>
        </w:rPr>
        <w:t>7</w:t>
      </w:r>
      <w:r w:rsidRPr="00052BB1">
        <w:rPr>
          <w:rFonts w:cs="Times New Roman"/>
          <w:b/>
        </w:rPr>
        <w:t xml:space="preserve">. Sensitivity test of inverse model output using different </w:t>
      </w:r>
      <w:proofErr w:type="spellStart"/>
      <w:r w:rsidRPr="00052BB1">
        <w:rPr>
          <w:rFonts w:cs="Times New Roman"/>
          <w:b/>
          <w:i/>
        </w:rPr>
        <w:t>f</w:t>
      </w:r>
      <w:r w:rsidRPr="00052BB1">
        <w:rPr>
          <w:rFonts w:cs="Times New Roman"/>
          <w:b/>
          <w:i/>
          <w:vertAlign w:val="subscript"/>
        </w:rPr>
        <w:t>init</w:t>
      </w:r>
      <w:proofErr w:type="spellEnd"/>
    </w:p>
    <w:p w14:paraId="69D017BE" w14:textId="2B5D71F4" w:rsidR="007561F6" w:rsidRPr="00491E0F" w:rsidRDefault="007561F6" w:rsidP="007561F6">
      <w:pPr>
        <w:rPr>
          <w:rFonts w:cs="Times New Roman"/>
        </w:rPr>
      </w:pPr>
      <w:r>
        <w:rPr>
          <w:rFonts w:cs="Times New Roman"/>
        </w:rPr>
        <w:tab/>
        <w:t xml:space="preserve">One of the major assumptions in the inverse model for the canine isotope data is that the initial mineral density of canine enamel matrix is the same as molar enamel matrix. To further investigate how sensitive the inverse model is to different initial mineral densities, we applied a range of </w:t>
      </w:r>
      <w:bookmarkStart w:id="6" w:name="_Hlk26735207"/>
      <w:proofErr w:type="spellStart"/>
      <w:r w:rsidRPr="00595E3F">
        <w:rPr>
          <w:rFonts w:cs="Times New Roman"/>
          <w:i/>
        </w:rPr>
        <w:t>f</w:t>
      </w:r>
      <w:r w:rsidRPr="00595E3F">
        <w:rPr>
          <w:rFonts w:cs="Times New Roman"/>
          <w:i/>
          <w:vertAlign w:val="subscript"/>
        </w:rPr>
        <w:t>init</w:t>
      </w:r>
      <w:bookmarkEnd w:id="6"/>
      <w:proofErr w:type="spellEnd"/>
      <w:r>
        <w:rPr>
          <w:rFonts w:cs="Times New Roman"/>
        </w:rPr>
        <w:t xml:space="preserve"> (from 0.25 to </w:t>
      </w:r>
      <w:bookmarkStart w:id="7" w:name="_Hlk26888358"/>
      <w:r>
        <w:rPr>
          <w:rFonts w:cs="Times New Roman"/>
        </w:rPr>
        <w:t>0.55</w:t>
      </w:r>
      <w:bookmarkEnd w:id="7"/>
      <w:r>
        <w:rPr>
          <w:rFonts w:cs="Times New Roman"/>
        </w:rPr>
        <w:t xml:space="preserve"> as a reasonable range of </w:t>
      </w:r>
      <w:proofErr w:type="spellStart"/>
      <w:r w:rsidRPr="00595E3F">
        <w:rPr>
          <w:rFonts w:cs="Times New Roman"/>
          <w:i/>
        </w:rPr>
        <w:t>f</w:t>
      </w:r>
      <w:r w:rsidRPr="00595E3F">
        <w:rPr>
          <w:rFonts w:cs="Times New Roman"/>
          <w:i/>
          <w:vertAlign w:val="subscript"/>
        </w:rPr>
        <w:t>init</w:t>
      </w:r>
      <w:proofErr w:type="spellEnd"/>
      <w:r>
        <w:rPr>
          <w:rFonts w:cs="Times New Roman"/>
        </w:rPr>
        <w:t xml:space="preserve"> values) to the inverse model while keeping the other parameters constant using the MPL2 canine dataset. The average 100 model solutions are reported in Supplementary S2 and plotted in </w:t>
      </w:r>
      <w:r w:rsidRPr="00D52EF8">
        <w:rPr>
          <w:rFonts w:cs="Times New Roman"/>
        </w:rPr>
        <w:t xml:space="preserve">Figure </w:t>
      </w:r>
      <w:r w:rsidR="00D52EF8" w:rsidRPr="00D52EF8">
        <w:rPr>
          <w:rFonts w:cs="Times New Roman"/>
        </w:rPr>
        <w:t>S</w:t>
      </w:r>
      <w:r w:rsidR="00D52EF8" w:rsidRPr="00A901B1">
        <w:rPr>
          <w:rFonts w:cs="Times New Roman"/>
        </w:rPr>
        <w:t>3</w:t>
      </w:r>
      <w:r>
        <w:rPr>
          <w:rFonts w:cs="Times New Roman"/>
        </w:rPr>
        <w:t xml:space="preserve">. The average solutions of all other </w:t>
      </w:r>
      <w:proofErr w:type="spellStart"/>
      <w:r w:rsidRPr="00595E3F">
        <w:rPr>
          <w:rFonts w:cs="Times New Roman"/>
          <w:i/>
        </w:rPr>
        <w:t>f</w:t>
      </w:r>
      <w:r w:rsidRPr="00595E3F">
        <w:rPr>
          <w:rFonts w:cs="Times New Roman"/>
          <w:i/>
          <w:vertAlign w:val="subscript"/>
        </w:rPr>
        <w:t>init</w:t>
      </w:r>
      <w:proofErr w:type="spellEnd"/>
      <w:r>
        <w:rPr>
          <w:rFonts w:cs="Times New Roman"/>
          <w:vertAlign w:val="subscript"/>
        </w:rPr>
        <w:t xml:space="preserve"> </w:t>
      </w:r>
      <w:r>
        <w:rPr>
          <w:rFonts w:cs="Times New Roman"/>
        </w:rPr>
        <w:t xml:space="preserve">values </w:t>
      </w:r>
      <w:r w:rsidRPr="00491E0F">
        <w:rPr>
          <w:rFonts w:cs="Times New Roman"/>
        </w:rPr>
        <w:t>fall</w:t>
      </w:r>
      <w:r>
        <w:rPr>
          <w:rFonts w:cs="Times New Roman"/>
        </w:rPr>
        <w:t xml:space="preserve"> within the confidence interval (</w:t>
      </w:r>
      <w:r w:rsidRPr="00335203">
        <w:rPr>
          <w:rFonts w:cs="Times New Roman"/>
        </w:rPr>
        <w:t>±</w:t>
      </w:r>
      <w:r>
        <w:rPr>
          <w:rFonts w:cs="Times New Roman"/>
        </w:rPr>
        <w:t xml:space="preserve"> </w:t>
      </w:r>
      <w:r w:rsidRPr="004826A7">
        <w:rPr>
          <w:rFonts w:eastAsia="Times New Roman" w:cs="Times New Roman"/>
        </w:rPr>
        <w:t>2σ</w:t>
      </w:r>
      <w:r>
        <w:rPr>
          <w:rFonts w:cs="Times New Roman"/>
        </w:rPr>
        <w:t xml:space="preserve">) of the solutions with </w:t>
      </w:r>
      <w:proofErr w:type="spellStart"/>
      <w:r w:rsidRPr="00595E3F">
        <w:rPr>
          <w:rFonts w:cs="Times New Roman"/>
          <w:i/>
        </w:rPr>
        <w:t>f</w:t>
      </w:r>
      <w:r w:rsidRPr="00595E3F">
        <w:rPr>
          <w:rFonts w:cs="Times New Roman"/>
          <w:i/>
          <w:vertAlign w:val="subscript"/>
        </w:rPr>
        <w:t>init</w:t>
      </w:r>
      <w:proofErr w:type="spellEnd"/>
      <w:r>
        <w:rPr>
          <w:rFonts w:cs="Times New Roman"/>
        </w:rPr>
        <w:t xml:space="preserve"> = 0.45, suggesting that our assumption about canine enamel matrix density should not significantly influence our interpretation of canine isotope variation and seasonality. </w:t>
      </w:r>
    </w:p>
    <w:p w14:paraId="6F2BBD12" w14:textId="77777777" w:rsidR="007561F6" w:rsidRDefault="007561F6" w:rsidP="007561F6">
      <w:pPr>
        <w:rPr>
          <w:rFonts w:cs="Times New Roman"/>
        </w:rPr>
      </w:pPr>
    </w:p>
    <w:p w14:paraId="7C014EB3" w14:textId="17DA0B7B" w:rsidR="007561F6" w:rsidRPr="0027426F" w:rsidRDefault="007561F6" w:rsidP="007561F6">
      <w:pPr>
        <w:rPr>
          <w:rFonts w:cs="Times New Roman"/>
          <w:b/>
        </w:rPr>
      </w:pPr>
      <w:r>
        <w:rPr>
          <w:rFonts w:cs="Times New Roman"/>
          <w:b/>
        </w:rPr>
        <w:lastRenderedPageBreak/>
        <w:t>8.</w:t>
      </w:r>
      <w:r w:rsidRPr="0027426F">
        <w:rPr>
          <w:rFonts w:cs="Times New Roman"/>
          <w:b/>
        </w:rPr>
        <w:t xml:space="preserve"> </w:t>
      </w:r>
      <w:r w:rsidR="00C94160">
        <w:rPr>
          <w:rFonts w:cs="Times New Roman"/>
          <w:b/>
        </w:rPr>
        <w:t>T</w:t>
      </w:r>
      <w:r w:rsidRPr="0027426F">
        <w:rPr>
          <w:rFonts w:cs="Times New Roman"/>
          <w:b/>
        </w:rPr>
        <w:t>he relationship between appositional angle and enamel extension rate</w:t>
      </w:r>
    </w:p>
    <w:p w14:paraId="59353046" w14:textId="4F99DED9" w:rsidR="007561F6" w:rsidRPr="002A56FC" w:rsidRDefault="007561F6" w:rsidP="007561F6">
      <w:pPr>
        <w:rPr>
          <w:rFonts w:cs="Times New Roman"/>
        </w:rPr>
      </w:pPr>
      <w:r>
        <w:rPr>
          <w:rFonts w:cs="Times New Roman"/>
        </w:rPr>
        <w:tab/>
        <w:t>Previous studies o</w:t>
      </w:r>
      <w:r w:rsidR="00EA30D2">
        <w:rPr>
          <w:rFonts w:cs="Times New Roman"/>
        </w:rPr>
        <w:t>f</w:t>
      </w:r>
      <w:r>
        <w:rPr>
          <w:rFonts w:cs="Times New Roman"/>
        </w:rPr>
        <w:t xml:space="preserve"> hypsodont molars observed an exponential decrease in the appositional angle (enamel formation front angle) as enamel extends close to the cervical margin </w:t>
      </w:r>
      <w:r>
        <w:rPr>
          <w:rFonts w:cs="Times New Roman"/>
        </w:rPr>
        <w:fldChar w:fldCharType="begin">
          <w:fldData xml:space="preserve">PEVuZE5vdGU+PENpdGU+PEF1dGhvcj5aYXp6bzwvQXV0aG9yPjxZZWFyPjIwMTI8L1llYXI+PFJl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</w:fldData>
        </w:fldChar>
      </w:r>
      <w:r w:rsidR="000B3CB2">
        <w:rPr>
          <w:rFonts w:cs="Times New Roman"/>
        </w:rPr>
        <w:instrText xml:space="preserve"> ADDIN EN.CITE </w:instrText>
      </w:r>
      <w:r w:rsidR="000B3CB2">
        <w:rPr>
          <w:rFonts w:cs="Times New Roman"/>
        </w:rPr>
        <w:fldChar w:fldCharType="begin">
          <w:fldData xml:space="preserve">PEVuZE5vdGU+PENpdGU+PEF1dGhvcj5aYXp6bzwvQXV0aG9yPjxZZWFyPjIwMTI8L1llYXI+PFJl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</w:fldData>
        </w:fldChar>
      </w:r>
      <w:r w:rsidR="000B3CB2">
        <w:rPr>
          <w:rFonts w:cs="Times New Roman"/>
        </w:rPr>
        <w:instrText xml:space="preserve"> ADDIN EN.CITE.DATA </w:instrText>
      </w:r>
      <w:r w:rsidR="000B3CB2">
        <w:rPr>
          <w:rFonts w:cs="Times New Roman"/>
        </w:rPr>
      </w:r>
      <w:r w:rsidR="000B3CB2">
        <w:rPr>
          <w:rFonts w:cs="Times New Roman"/>
        </w:rPr>
        <w:fldChar w:fldCharType="end"/>
      </w:r>
      <w:r>
        <w:rPr>
          <w:rFonts w:cs="Times New Roman"/>
        </w:rPr>
      </w:r>
      <w:r>
        <w:rPr>
          <w:rFonts w:cs="Times New Roman"/>
        </w:rPr>
        <w:fldChar w:fldCharType="separate"/>
      </w:r>
      <w:r w:rsidR="000B3CB2">
        <w:rPr>
          <w:rFonts w:cs="Times New Roman"/>
          <w:noProof/>
        </w:rPr>
        <w:t>(</w:t>
      </w:r>
      <w:hyperlink w:anchor="_ENREF_7" w:tooltip="Hoppe, 2004 #815" w:history="1">
        <w:r w:rsidR="000B3CB2">
          <w:rPr>
            <w:rFonts w:cs="Times New Roman"/>
            <w:noProof/>
          </w:rPr>
          <w:t>Hoppe et al., 2004</w:t>
        </w:r>
      </w:hyperlink>
      <w:r w:rsidR="000B3CB2">
        <w:rPr>
          <w:rFonts w:cs="Times New Roman"/>
          <w:noProof/>
        </w:rPr>
        <w:t xml:space="preserve">; </w:t>
      </w:r>
      <w:hyperlink w:anchor="_ENREF_11" w:tooltip="Nacarino-Meneses, 2017 #901" w:history="1">
        <w:r w:rsidR="000B3CB2">
          <w:rPr>
            <w:rFonts w:cs="Times New Roman"/>
            <w:noProof/>
          </w:rPr>
          <w:t>Nacarino-Meneses et al., 2017</w:t>
        </w:r>
      </w:hyperlink>
      <w:r w:rsidR="000B3CB2">
        <w:rPr>
          <w:rFonts w:cs="Times New Roman"/>
          <w:noProof/>
        </w:rPr>
        <w:t xml:space="preserve">; </w:t>
      </w:r>
      <w:hyperlink w:anchor="_ENREF_20" w:tooltip="Uno, in press #989" w:history="1">
        <w:r w:rsidR="000B3CB2">
          <w:rPr>
            <w:rFonts w:cs="Times New Roman"/>
            <w:noProof/>
          </w:rPr>
          <w:t xml:space="preserve">Uno et al., </w:t>
        </w:r>
        <w:r w:rsidR="00F87515" w:rsidRPr="00F87515">
          <w:rPr>
            <w:rFonts w:cs="Times New Roman"/>
            <w:iCs/>
            <w:noProof/>
          </w:rPr>
          <w:t>2020</w:t>
        </w:r>
      </w:hyperlink>
      <w:r w:rsidR="000B3CB2" w:rsidRPr="000B3CB2">
        <w:rPr>
          <w:rFonts w:cs="Times New Roman"/>
          <w:i/>
          <w:noProof/>
        </w:rPr>
        <w:t xml:space="preserve">; </w:t>
      </w:r>
      <w:hyperlink w:anchor="_ENREF_22" w:tooltip="Zazzo, 2012 #463" w:history="1">
        <w:r w:rsidR="000B3CB2">
          <w:rPr>
            <w:rFonts w:cs="Times New Roman"/>
            <w:noProof/>
          </w:rPr>
          <w:t>Zazzo et al., 2012</w:t>
        </w:r>
      </w:hyperlink>
      <w:r w:rsidR="000B3CB2">
        <w:rPr>
          <w:rFonts w:cs="Times New Roman"/>
          <w:noProof/>
        </w:rPr>
        <w:t>)</w:t>
      </w:r>
      <w:r>
        <w:rPr>
          <w:rFonts w:cs="Times New Roman"/>
        </w:rPr>
        <w:fldChar w:fldCharType="end"/>
      </w:r>
      <w:r w:rsidRPr="00294CA8">
        <w:fldChar w:fldCharType="begin"/>
      </w:r>
      <w:r w:rsidRPr="00294CA8">
        <w:instrText xml:space="preserve"> QUOTE "{Nacarino-Meneses, 2017 #901}" </w:instrText>
      </w:r>
      <w:r w:rsidRPr="00294CA8">
        <w:fldChar w:fldCharType="end"/>
      </w:r>
      <w:r>
        <w:rPr>
          <w:rFonts w:cs="Times New Roman"/>
        </w:rPr>
        <w:t xml:space="preserve">. A similar pattern </w:t>
      </w:r>
      <w:r w:rsidR="00EA30D2">
        <w:rPr>
          <w:rFonts w:cs="Times New Roman"/>
        </w:rPr>
        <w:t xml:space="preserve">is also observed </w:t>
      </w:r>
      <w:r>
        <w:rPr>
          <w:rFonts w:cs="Times New Roman"/>
        </w:rPr>
        <w:t xml:space="preserve">in the warthog M3, but not in the warthog canine (Supplementary S2). We further explored the relationship between the enamel extension rate and the appositional angle, which are both dependent </w:t>
      </w:r>
      <w:r w:rsidR="00EA30D2">
        <w:rPr>
          <w:rFonts w:cs="Times New Roman"/>
        </w:rPr>
        <w:t>upon</w:t>
      </w:r>
      <w:r>
        <w:rPr>
          <w:rFonts w:cs="Times New Roman"/>
        </w:rPr>
        <w:t xml:space="preserve"> the location of </w:t>
      </w:r>
      <w:r w:rsidR="00EA30D2">
        <w:rPr>
          <w:rFonts w:cs="Times New Roman"/>
        </w:rPr>
        <w:t xml:space="preserve">the </w:t>
      </w:r>
      <w:r>
        <w:rPr>
          <w:rFonts w:cs="Times New Roman"/>
        </w:rPr>
        <w:t xml:space="preserve">EDJ. We found that there is no relationship between the appositional angle and enamel extension rate in the canine, but a significant exponential decrease (using a generalized linear model with a link function of natural log, </w:t>
      </w:r>
      <w:r w:rsidRPr="0046294E">
        <w:rPr>
          <w:rFonts w:cs="Times New Roman"/>
          <w:i/>
        </w:rPr>
        <w:t>p</w:t>
      </w:r>
      <w:r w:rsidR="00967E2B">
        <w:rPr>
          <w:rFonts w:cs="Times New Roman"/>
          <w:i/>
        </w:rPr>
        <w:t xml:space="preserve"> </w:t>
      </w:r>
      <w:r>
        <w:rPr>
          <w:rFonts w:cs="Times New Roman"/>
        </w:rPr>
        <w:t>&lt;</w:t>
      </w:r>
      <w:r w:rsidR="00967E2B">
        <w:rPr>
          <w:rFonts w:cs="Times New Roman"/>
        </w:rPr>
        <w:t xml:space="preserve"> </w:t>
      </w:r>
      <w:r>
        <w:rPr>
          <w:rFonts w:cs="Times New Roman"/>
        </w:rPr>
        <w:t>0.0001) in the enamel extension rate relative to the appositional angle in the molars (</w:t>
      </w:r>
      <w:r w:rsidRPr="00D52EF8">
        <w:rPr>
          <w:rFonts w:cs="Times New Roman"/>
        </w:rPr>
        <w:t>Figure S</w:t>
      </w:r>
      <w:r w:rsidR="00D52EF8" w:rsidRPr="00A901B1">
        <w:rPr>
          <w:rFonts w:cs="Times New Roman"/>
        </w:rPr>
        <w:t>5</w:t>
      </w:r>
      <w:r>
        <w:rPr>
          <w:rFonts w:cs="Times New Roman"/>
        </w:rPr>
        <w:t xml:space="preserve">), after pooling both the Souron1 and NKU molar data. This indicates that appositional angle can be used to predict enamel extension rate, and vice versa </w:t>
      </w:r>
      <w:r>
        <w:rPr>
          <w:rFonts w:cs="Times New Roman"/>
        </w:rPr>
        <w:fldChar w:fldCharType="begin"/>
      </w:r>
      <w:r>
        <w:rPr>
          <w:rFonts w:cs="Times New Roman"/>
        </w:rPr>
        <w:instrText xml:space="preserve"> ADDIN EN.CITE &lt;EndNote&gt;&lt;Cite&gt;&lt;Author&gt;McGrath&lt;/Author&gt;&lt;Year&gt;2019&lt;/Year&gt;&lt;RecNum&gt;950&lt;/RecNum&gt;&lt;DisplayText&gt;(McGrath et al., 2019)&lt;/DisplayText&gt;&lt;record&gt;&lt;rec-number&gt;950&lt;/rec-number&gt;&lt;foreign-keys&gt;&lt;key app="EN" db-id="tfdrzwraavd093eezvk5z5ehd2xvxse2wfar" timestamp="1578676765"&gt;950&lt;/key&gt;&lt;/foreign-keys&gt;&lt;ref-type name="Journal Article"&gt;17&lt;/ref-type&gt;&lt;contributors&gt;&lt;authors&gt;&lt;author&gt;McGrath, Kate&lt;/author&gt;&lt;author&gt;Reid, Donald J.&lt;/author&gt;&lt;author&gt;Guatelli-Steinberg, Debbie&lt;/author&gt;&lt;author&gt;Arbenz-Smith, Keely&lt;/author&gt;&lt;author&gt;El Zaatari, Sireen&lt;/author&gt;&lt;author&gt;Fatica, Lawrence M.&lt;/author&gt;&lt;author&gt;Kralick, Alexandra E.&lt;/author&gt;&lt;author&gt;Cranfield, Michael R.&lt;/author&gt;&lt;author&gt;Stoinski, Tara S.&lt;/author&gt;&lt;author&gt;Bromage, Timothy G.&lt;/author&gt;&lt;author&gt;Mudakikwa, Antoine&lt;/author&gt;&lt;author&gt;McFarlin, Shannon C.&lt;/author&gt;&lt;/authors&gt;&lt;/contributors&gt;&lt;titles&gt;&lt;title&gt;Faster growth corresponds with shallower linear hypoplastic defects in great ape canines&lt;/title&gt;&lt;secondary-title&gt;Journal of Human Evolution&lt;/secondary-title&gt;&lt;/titles&gt;&lt;periodical&gt;&lt;full-title&gt;Journal of Human Evolution&lt;/full-title&gt;&lt;abbr-1&gt;J Hum Evol&lt;/abbr-1&gt;&lt;abbr-2&gt;J. Hum. Evol.&lt;/abbr-2&gt;&lt;/periodical&gt;&lt;pages&gt;102691&lt;/pages&gt;&lt;volume&gt;137&lt;/volume&gt;&lt;keywords&gt;&lt;keyword&gt;Dental development&lt;/keyword&gt;&lt;keyword&gt;Linear enamel hypoplasia&lt;/keyword&gt;&lt;keyword&gt;Hominoids&lt;/keyword&gt;&lt;/keywords&gt;&lt;dates&gt;&lt;year&gt;2019&lt;/year&gt;&lt;pub-dates&gt;&lt;date&gt;2019/12/01/&lt;/date&gt;&lt;/pub-dates&gt;&lt;/dates&gt;&lt;isbn&gt;0047-2484&lt;/isbn&gt;&lt;urls&gt;&lt;related-urls&gt;&lt;url&gt;http://www.sciencedirect.com/science/article/pii/S004724841930212X&lt;/url&gt;&lt;/related-urls&gt;&lt;/urls&gt;&lt;electronic-resource-num&gt;https://doi.org/10.1016/j.jhevol.2019.102691&lt;/electronic-resource-num&gt;&lt;/record&gt;&lt;/Cite&gt;&lt;/EndNote&gt;</w:instrText>
      </w:r>
      <w:r>
        <w:rPr>
          <w:rFonts w:cs="Times New Roman"/>
        </w:rPr>
        <w:fldChar w:fldCharType="separate"/>
      </w:r>
      <w:r>
        <w:rPr>
          <w:rFonts w:cs="Times New Roman"/>
          <w:noProof/>
        </w:rPr>
        <w:t>(</w:t>
      </w:r>
      <w:hyperlink w:anchor="_ENREF_10" w:tooltip="McGrath, 2019 #950" w:history="1">
        <w:r w:rsidR="000B3CB2">
          <w:rPr>
            <w:rFonts w:cs="Times New Roman"/>
            <w:noProof/>
          </w:rPr>
          <w:t>McGrath et al., 2019</w:t>
        </w:r>
      </w:hyperlink>
      <w:r>
        <w:rPr>
          <w:rFonts w:cs="Times New Roman"/>
          <w:noProof/>
        </w:rPr>
        <w:t>)</w:t>
      </w:r>
      <w:r>
        <w:rPr>
          <w:rFonts w:cs="Times New Roman"/>
        </w:rPr>
        <w:fldChar w:fldCharType="end"/>
      </w:r>
      <w:r>
        <w:rPr>
          <w:rFonts w:cs="Times New Roman"/>
        </w:rPr>
        <w:t xml:space="preserve">. One potential application of this finding would be to estimate enamel extension rates based on the angles of laminations at broken enamel surfaces via confocal scanning optical microscopy </w:t>
      </w:r>
      <w:r>
        <w:rPr>
          <w:rFonts w:cs="Times New Roman"/>
        </w:rPr>
        <w:fldChar w:fldCharType="begin"/>
      </w:r>
      <w:r w:rsidR="005706CA">
        <w:rPr>
          <w:rFonts w:cs="Times New Roman"/>
        </w:rPr>
        <w:instrText xml:space="preserve"> ADDIN EN.CITE &lt;EndNote&gt;&lt;Cite&gt;&lt;Author&gt;Bromage&lt;/Author&gt;&lt;Year&gt;2009&lt;/Year&gt;&lt;RecNum&gt;951&lt;/RecNum&gt;&lt;Prefix&gt;e.g.`, &lt;/Prefix&gt;&lt;DisplayText&gt;(e.g., Bromage et al., 2009)&lt;/DisplayText&gt;&lt;record&gt;&lt;rec-number&gt;951&lt;/rec-number&gt;&lt;foreign-keys&gt;&lt;key app="EN" db-id="tfdrzwraavd093eezvk5z5ehd2xvxse2wfar" timestamp="1578676838"&gt;951&lt;/key&gt;&lt;/foreign-keys&gt;&lt;ref-type name="Journal Article"&gt;17&lt;/ref-type&gt;&lt;contributors&gt;&lt;authors&gt;&lt;author&gt;Bromage, T. G.&lt;/author&gt;&lt;author&gt;Goldman, H. M.&lt;/author&gt;&lt;author&gt;McFarlin, S. C.&lt;/author&gt;&lt;author&gt;Perez Ochoa, A.&lt;/author&gt;&lt;author&gt;Boyde, A.&lt;/author&gt;&lt;/authors&gt;&lt;/contributors&gt;&lt;titles&gt;&lt;title&gt;&lt;style face="normal" font="default" size="100%"&gt;Confocal scanning optical microscopy of a 3-million-year-old &lt;/style&gt;&lt;style face="italic" font="default" size="100%"&gt;Australopithecus afarensis&lt;/style&gt;&lt;style face="normal" font="default" size="100%"&gt; femur&lt;/style&gt;&lt;/title&gt;&lt;secondary-title&gt;Scanning&lt;/secondary-title&gt;&lt;/titles&gt;&lt;periodical&gt;&lt;full-title&gt;Scanning&lt;/full-title&gt;&lt;/periodical&gt;&lt;pages&gt;1-10&lt;/pages&gt;&lt;volume&gt;31&lt;/volume&gt;&lt;number&gt;1&lt;/number&gt;&lt;dates&gt;&lt;year&gt;2009&lt;/year&gt;&lt;/dates&gt;&lt;isbn&gt;0161-0457&lt;/isbn&gt;&lt;urls&gt;&lt;related-urls&gt;&lt;url&gt;https://onlinelibrary.wiley.com/doi/abs/10.1002/sca.20139&lt;/url&gt;&lt;/related-urls&gt;&lt;/urls&gt;&lt;electronic-resource-num&gt;10.1002/sca.20139&lt;/electronic-resource-num&gt;&lt;/record&gt;&lt;/Cite&gt;&lt;/EndNote&gt;</w:instrText>
      </w:r>
      <w:r>
        <w:rPr>
          <w:rFonts w:cs="Times New Roman"/>
        </w:rPr>
        <w:fldChar w:fldCharType="separate"/>
      </w:r>
      <w:r>
        <w:rPr>
          <w:rFonts w:cs="Times New Roman"/>
          <w:noProof/>
        </w:rPr>
        <w:t>(</w:t>
      </w:r>
      <w:hyperlink w:anchor="_ENREF_1" w:tooltip="Bromage, 2009 #951" w:history="1">
        <w:r w:rsidR="000B3CB2">
          <w:rPr>
            <w:rFonts w:cs="Times New Roman"/>
            <w:noProof/>
          </w:rPr>
          <w:t>e.g., Bromage et al., 2009</w:t>
        </w:r>
      </w:hyperlink>
      <w:r>
        <w:rPr>
          <w:rFonts w:cs="Times New Roman"/>
          <w:noProof/>
        </w:rPr>
        <w:t>)</w:t>
      </w:r>
      <w:r>
        <w:rPr>
          <w:rFonts w:cs="Times New Roman"/>
        </w:rPr>
        <w:fldChar w:fldCharType="end"/>
      </w:r>
      <w:r>
        <w:rPr>
          <w:rFonts w:cs="Times New Roman"/>
        </w:rPr>
        <w:t xml:space="preserve">. This potential application can avoid the damaging of a specimen due to the destructive nature of thin section preparation. This is especially valuable for fossil specimens because they are subject to the rules and regulations of the country of origins in which destructive data collection methods are strongly discouraged. Another implication of this relationship is that calculating enamel extension rates may not have to depend on crown height measurements. This is potentially useful in teeth that are worn and whose original crown height is difficult to reconstruct. One last potential application of this finding would be building simpler mathematical models in reconstructing the isotopic input in body water, since this relationship is related to both growth and mineralization geometry. More data on this relationship in other taxa </w:t>
      </w:r>
      <w:r>
        <w:rPr>
          <w:rFonts w:cs="Times New Roman"/>
        </w:rPr>
        <w:lastRenderedPageBreak/>
        <w:t xml:space="preserve">would help to improve our understanding of tooth formation and mineralization, as well as modeling efforts in environmental reconstruction. </w:t>
      </w:r>
    </w:p>
    <w:p w14:paraId="6889C206" w14:textId="77777777" w:rsidR="007561F6" w:rsidRDefault="007561F6" w:rsidP="007561F6">
      <w:pPr>
        <w:rPr>
          <w:rFonts w:cs="Times New Roman"/>
        </w:rPr>
      </w:pPr>
    </w:p>
    <w:p w14:paraId="07E53CCB" w14:textId="77777777" w:rsidR="007561F6" w:rsidRPr="001516B1" w:rsidRDefault="007561F6" w:rsidP="007561F6">
      <w:pPr>
        <w:rPr>
          <w:rFonts w:cs="Times New Roman"/>
          <w:b/>
        </w:rPr>
      </w:pPr>
      <w:r>
        <w:rPr>
          <w:rFonts w:cs="Times New Roman"/>
          <w:b/>
        </w:rPr>
        <w:t>9</w:t>
      </w:r>
      <w:r w:rsidRPr="001516B1">
        <w:rPr>
          <w:rFonts w:cs="Times New Roman"/>
          <w:b/>
        </w:rPr>
        <w:t>. Enamel daily secretion rates in warthog M3s and canines</w:t>
      </w:r>
    </w:p>
    <w:p w14:paraId="0059FEB5" w14:textId="5E803248" w:rsidR="007561F6" w:rsidRDefault="007561F6" w:rsidP="007561F6">
      <w:pPr>
        <w:rPr>
          <w:rFonts w:cs="Times New Roman"/>
        </w:rPr>
      </w:pPr>
      <w:r>
        <w:rPr>
          <w:rFonts w:cs="Times New Roman"/>
        </w:rPr>
        <w:tab/>
        <w:t>In order to provide additional information on how warthog M3s and canine</w:t>
      </w:r>
      <w:r w:rsidR="00EA30D2">
        <w:rPr>
          <w:rFonts w:cs="Times New Roman"/>
        </w:rPr>
        <w:t>s</w:t>
      </w:r>
      <w:r>
        <w:rPr>
          <w:rFonts w:cs="Times New Roman"/>
        </w:rPr>
        <w:t xml:space="preserve"> form, we measured daily secretion rates (DSRs) </w:t>
      </w:r>
      <w:r w:rsidR="00EA30D2">
        <w:rPr>
          <w:rFonts w:cs="Times New Roman"/>
        </w:rPr>
        <w:t>using</w:t>
      </w:r>
      <w:r>
        <w:rPr>
          <w:rFonts w:cs="Times New Roman"/>
        </w:rPr>
        <w:t xml:space="preserve"> the same thin sections in which enamel extension measurements were made. Digital images were taken </w:t>
      </w:r>
      <w:r w:rsidRPr="00B669B8">
        <w:rPr>
          <w:rFonts w:cs="Times New Roman"/>
        </w:rPr>
        <w:t xml:space="preserve">using </w:t>
      </w:r>
      <w:r>
        <w:rPr>
          <w:rFonts w:cs="Times New Roman"/>
        </w:rPr>
        <w:t xml:space="preserve">a </w:t>
      </w:r>
      <w:r w:rsidRPr="00B669B8">
        <w:rPr>
          <w:rFonts w:cs="Times New Roman"/>
        </w:rPr>
        <w:t xml:space="preserve">50x </w:t>
      </w:r>
      <w:r>
        <w:rPr>
          <w:rFonts w:cs="Times New Roman"/>
        </w:rPr>
        <w:t xml:space="preserve">objective lens </w:t>
      </w:r>
      <w:r>
        <w:rPr>
          <w:rFonts w:cs="Times New Roman"/>
          <w:bCs/>
          <w:szCs w:val="24"/>
        </w:rPr>
        <w:t xml:space="preserve">(1 pixel = 0.34 </w:t>
      </w:r>
      <w:proofErr w:type="spellStart"/>
      <w:r w:rsidRPr="00FF4F28">
        <w:rPr>
          <w:rFonts w:cs="Times New Roman"/>
          <w:bCs/>
          <w:szCs w:val="24"/>
        </w:rPr>
        <w:t>μ</w:t>
      </w:r>
      <w:r w:rsidRPr="00353DB2">
        <w:rPr>
          <w:rFonts w:cs="Times New Roman"/>
          <w:bCs/>
          <w:szCs w:val="24"/>
        </w:rPr>
        <w:t>m</w:t>
      </w:r>
      <w:proofErr w:type="spellEnd"/>
      <w:r>
        <w:rPr>
          <w:rFonts w:cs="Times New Roman"/>
          <w:bCs/>
          <w:szCs w:val="24"/>
        </w:rPr>
        <w:t>)</w:t>
      </w:r>
      <w:r w:rsidRPr="00B669B8">
        <w:rPr>
          <w:rFonts w:cs="Times New Roman"/>
        </w:rPr>
        <w:t xml:space="preserve">, supplemented by </w:t>
      </w:r>
      <w:r>
        <w:rPr>
          <w:rFonts w:cs="Times New Roman"/>
        </w:rPr>
        <w:t xml:space="preserve">images taken with a </w:t>
      </w:r>
      <w:r w:rsidRPr="00B669B8">
        <w:rPr>
          <w:rFonts w:cs="Times New Roman"/>
        </w:rPr>
        <w:t xml:space="preserve">20x </w:t>
      </w:r>
      <w:r>
        <w:rPr>
          <w:rFonts w:cs="Times New Roman"/>
        </w:rPr>
        <w:t xml:space="preserve">objective lens </w:t>
      </w:r>
      <w:r>
        <w:rPr>
          <w:rFonts w:cs="Times New Roman"/>
          <w:bCs/>
          <w:szCs w:val="24"/>
        </w:rPr>
        <w:t xml:space="preserve">(1 pixel = 0.84 </w:t>
      </w:r>
      <w:proofErr w:type="spellStart"/>
      <w:r w:rsidRPr="00FF4F28">
        <w:rPr>
          <w:rFonts w:cs="Times New Roman"/>
          <w:bCs/>
          <w:szCs w:val="24"/>
        </w:rPr>
        <w:t>μ</w:t>
      </w:r>
      <w:r w:rsidRPr="00353DB2">
        <w:rPr>
          <w:rFonts w:cs="Times New Roman"/>
          <w:bCs/>
          <w:szCs w:val="24"/>
        </w:rPr>
        <w:t>m</w:t>
      </w:r>
      <w:proofErr w:type="spellEnd"/>
      <w:r>
        <w:rPr>
          <w:rFonts w:cs="Times New Roman"/>
          <w:bCs/>
          <w:szCs w:val="24"/>
        </w:rPr>
        <w:t>), using the same microscope setup as in Section 2.2 of the main manuscript</w:t>
      </w:r>
      <w:r>
        <w:rPr>
          <w:rFonts w:cs="Times New Roman"/>
        </w:rPr>
        <w:t xml:space="preserve">. Only the buccal side of each tooth was measured for DSR, due to low visibility of </w:t>
      </w:r>
      <w:r w:rsidR="00EA30D2">
        <w:rPr>
          <w:rFonts w:cs="Times New Roman"/>
        </w:rPr>
        <w:t xml:space="preserve">the </w:t>
      </w:r>
      <w:r>
        <w:rPr>
          <w:rFonts w:cs="Times New Roman"/>
        </w:rPr>
        <w:t xml:space="preserve">enamel microstructure on the lingual side. In each tooth, the enamel was divided into three crown regions along the EDJ: the upper third (close to the cusp tip), the middle third, and the lower third (close to the cervix). For the M3s, DSR was measured in three zones: the inner (close to the EDJ), middle, and outer (close to the outer enamel surface) enamel </w:t>
      </w:r>
      <w:r>
        <w:rPr>
          <w:rFonts w:cs="Times New Roman"/>
        </w:rPr>
        <w:fldChar w:fldCharType="begin"/>
      </w:r>
      <w:r w:rsidR="005706CA">
        <w:rPr>
          <w:rFonts w:cs="Times New Roman"/>
        </w:rPr>
        <w:instrText xml:space="preserve"> ADDIN EN.CITE &lt;EndNote&gt;&lt;Cite&gt;&lt;Author&gt;Kierdorf&lt;/Author&gt;&lt;Year&gt;2014&lt;/Year&gt;&lt;RecNum&gt;976&lt;/RecNum&gt;&lt;Prefix&gt;following &lt;/Prefix&gt;&lt;DisplayText&gt;(following Kierdorf et al., 2014)&lt;/DisplayText&gt;&lt;record&gt;&lt;rec-number&gt;976&lt;/rec-number&gt;&lt;foreign-keys&gt;&lt;key app="EN" db-id="tfdrzwraavd093eezvk5z5ehd2xvxse2wfar" timestamp="1580134282"&gt;976&lt;/key&gt;&lt;/foreign-keys&gt;&lt;ref-type name="Journal Article"&gt;17&lt;/ref-type&gt;&lt;contributors&gt;&lt;authors&gt;&lt;author&gt;Kierdorf, Horst&lt;/author&gt;&lt;author&gt;Breuer, Friederike&lt;/author&gt;&lt;author&gt;Richards, Alan&lt;/author&gt;&lt;author&gt;Kierdorf, Uwe&lt;/author&gt;&lt;/authors&gt;&lt;/contributors&gt;&lt;titles&gt;&lt;title&gt;Characterization of enamel incremental markings and crown growth parameters in minipig molars&lt;/title&gt;&lt;secondary-title&gt;The Anatomical Record&lt;/secondary-title&gt;&lt;/titles&gt;&lt;periodical&gt;&lt;full-title&gt;The Anatomical Record&lt;/full-title&gt;&lt;abbr-1&gt;Anat Rec&lt;/abbr-1&gt;&lt;abbr-2&gt;Anat. Rec.&lt;/abbr-2&gt;&lt;/periodical&gt;&lt;pages&gt;1935-1949&lt;/pages&gt;&lt;volume&gt;297&lt;/volume&gt;&lt;number&gt;10&lt;/number&gt;&lt;dates&gt;&lt;year&gt;2014&lt;/year&gt;&lt;/dates&gt;&lt;isbn&gt;1932-8486&lt;/isbn&gt;&lt;urls&gt;&lt;related-urls&gt;&lt;url&gt;https://anatomypubs.onlinelibrary.wiley.com/doi/abs/10.1002/ar.22951&lt;/url&gt;&lt;/related-urls&gt;&lt;/urls&gt;&lt;electronic-resource-num&gt;10.1002/ar.22951&lt;/electronic-resource-num&gt;&lt;/record&gt;&lt;/Cite&gt;&lt;/EndNote&gt;</w:instrText>
      </w:r>
      <w:r>
        <w:rPr>
          <w:rFonts w:cs="Times New Roman"/>
        </w:rPr>
        <w:fldChar w:fldCharType="separate"/>
      </w:r>
      <w:r>
        <w:rPr>
          <w:rFonts w:cs="Times New Roman"/>
          <w:noProof/>
        </w:rPr>
        <w:t>(</w:t>
      </w:r>
      <w:hyperlink w:anchor="_ENREF_8" w:tooltip="Kierdorf, 2014 #976" w:history="1">
        <w:r w:rsidR="000B3CB2">
          <w:rPr>
            <w:rFonts w:cs="Times New Roman"/>
            <w:noProof/>
          </w:rPr>
          <w:t>following Kierdorf et al., 2014</w:t>
        </w:r>
      </w:hyperlink>
      <w:r>
        <w:rPr>
          <w:rFonts w:cs="Times New Roman"/>
          <w:noProof/>
        </w:rPr>
        <w:t>)</w:t>
      </w:r>
      <w:r>
        <w:rPr>
          <w:rFonts w:cs="Times New Roman"/>
        </w:rPr>
        <w:fldChar w:fldCharType="end"/>
      </w:r>
      <w:r>
        <w:rPr>
          <w:rFonts w:cs="Times New Roman"/>
        </w:rPr>
        <w:t xml:space="preserve">. For the Souron2 canine, due to the thin enamel, it was divided into only inner and outer zones. DSR was recorded as distance (in </w:t>
      </w:r>
      <w:proofErr w:type="spellStart"/>
      <w:r w:rsidRPr="00FF4F28">
        <w:rPr>
          <w:rFonts w:cs="Times New Roman"/>
          <w:bCs/>
          <w:szCs w:val="24"/>
        </w:rPr>
        <w:t>μ</w:t>
      </w:r>
      <w:r w:rsidRPr="00353DB2">
        <w:rPr>
          <w:rFonts w:cs="Times New Roman"/>
          <w:bCs/>
          <w:szCs w:val="24"/>
        </w:rPr>
        <w:t>m</w:t>
      </w:r>
      <w:proofErr w:type="spellEnd"/>
      <w:r>
        <w:rPr>
          <w:rFonts w:cs="Times New Roman"/>
        </w:rPr>
        <w:t xml:space="preserve">) </w:t>
      </w:r>
      <w:r w:rsidRPr="005715BD">
        <w:rPr>
          <w:rFonts w:cs="Times New Roman"/>
        </w:rPr>
        <w:t>along the prism pathway from one lamination to another</w:t>
      </w:r>
      <w:r>
        <w:rPr>
          <w:rFonts w:cs="Times New Roman"/>
        </w:rPr>
        <w:t>. DSRs w</w:t>
      </w:r>
      <w:r w:rsidR="00EA30D2">
        <w:rPr>
          <w:rFonts w:cs="Times New Roman"/>
        </w:rPr>
        <w:t>ere</w:t>
      </w:r>
      <w:r>
        <w:rPr>
          <w:rFonts w:cs="Times New Roman"/>
        </w:rPr>
        <w:t xml:space="preserve"> measured in five different locations in a single enamel zone and the </w:t>
      </w:r>
      <w:r w:rsidRPr="00AA31F1">
        <w:rPr>
          <w:rFonts w:cs="Times New Roman"/>
        </w:rPr>
        <w:t xml:space="preserve">arithmetic mean of </w:t>
      </w:r>
      <w:r>
        <w:rPr>
          <w:rFonts w:cs="Times New Roman"/>
        </w:rPr>
        <w:t xml:space="preserve">the five </w:t>
      </w:r>
      <w:r w:rsidR="00175396">
        <w:rPr>
          <w:rFonts w:cs="Times New Roman"/>
        </w:rPr>
        <w:t>was</w:t>
      </w:r>
      <w:r>
        <w:rPr>
          <w:rFonts w:cs="Times New Roman"/>
        </w:rPr>
        <w:t xml:space="preserve"> used</w:t>
      </w:r>
      <w:r w:rsidRPr="00AA31F1">
        <w:rPr>
          <w:rFonts w:cs="Times New Roman"/>
        </w:rPr>
        <w:t xml:space="preserve"> </w:t>
      </w:r>
      <w:r>
        <w:rPr>
          <w:rFonts w:cs="Times New Roman"/>
        </w:rPr>
        <w:t>to represent the DSR of the respective</w:t>
      </w:r>
      <w:r w:rsidRPr="00AA31F1">
        <w:rPr>
          <w:rFonts w:cs="Times New Roman"/>
        </w:rPr>
        <w:t xml:space="preserve"> zone</w:t>
      </w:r>
      <w:r>
        <w:rPr>
          <w:rFonts w:cs="Times New Roman"/>
        </w:rPr>
        <w:t>.</w:t>
      </w:r>
    </w:p>
    <w:p w14:paraId="178D19C2" w14:textId="77777777" w:rsidR="007561F6" w:rsidRDefault="007561F6" w:rsidP="007561F6">
      <w:pPr>
        <w:rPr>
          <w:rFonts w:cs="Times New Roman"/>
        </w:rPr>
      </w:pPr>
    </w:p>
    <w:p w14:paraId="1B21DD34" w14:textId="7715CCB8" w:rsidR="007561F6" w:rsidRDefault="007561F6" w:rsidP="007561F6">
      <w:pPr>
        <w:rPr>
          <w:rFonts w:cs="Times New Roman"/>
        </w:rPr>
      </w:pPr>
      <w:r>
        <w:rPr>
          <w:rFonts w:cs="Times New Roman"/>
        </w:rPr>
        <w:tab/>
        <w:t xml:space="preserve">Daily secretion rates (DSRs) of warthog M3 enamel fall between 12 </w:t>
      </w:r>
      <w:proofErr w:type="spellStart"/>
      <w:r w:rsidR="00175396" w:rsidRPr="00600D01">
        <w:rPr>
          <w:rFonts w:cs="Times New Roman"/>
        </w:rPr>
        <w:t>μ</w:t>
      </w:r>
      <w:r w:rsidR="00175396" w:rsidRPr="00600D01">
        <w:t>m</w:t>
      </w:r>
      <w:proofErr w:type="spellEnd"/>
      <w:r w:rsidR="00175396">
        <w:t>/day</w:t>
      </w:r>
      <w:r w:rsidR="00175396">
        <w:rPr>
          <w:rFonts w:cs="Times New Roman"/>
        </w:rPr>
        <w:t xml:space="preserve"> </w:t>
      </w:r>
      <w:r>
        <w:rPr>
          <w:rFonts w:cs="Times New Roman"/>
        </w:rPr>
        <w:t xml:space="preserve">and 27 </w:t>
      </w:r>
      <w:proofErr w:type="spellStart"/>
      <w:r w:rsidRPr="00600D01">
        <w:rPr>
          <w:rFonts w:cs="Times New Roman"/>
        </w:rPr>
        <w:t>μ</w:t>
      </w:r>
      <w:r w:rsidRPr="00600D01">
        <w:t>m</w:t>
      </w:r>
      <w:proofErr w:type="spellEnd"/>
      <w:r>
        <w:t>/day</w:t>
      </w:r>
      <w:r>
        <w:rPr>
          <w:rFonts w:cs="Times New Roman"/>
        </w:rPr>
        <w:t xml:space="preserve">. In comparison, DSRs of canine enamel is much lower, between 8 </w:t>
      </w:r>
      <w:proofErr w:type="spellStart"/>
      <w:r w:rsidR="00175396" w:rsidRPr="00600D01">
        <w:rPr>
          <w:rFonts w:cs="Times New Roman"/>
        </w:rPr>
        <w:t>μ</w:t>
      </w:r>
      <w:r w:rsidR="00175396" w:rsidRPr="00600D01">
        <w:t>m</w:t>
      </w:r>
      <w:proofErr w:type="spellEnd"/>
      <w:r w:rsidR="00175396">
        <w:t>/day</w:t>
      </w:r>
      <w:r w:rsidR="00175396">
        <w:rPr>
          <w:rFonts w:cs="Times New Roman"/>
        </w:rPr>
        <w:t xml:space="preserve"> </w:t>
      </w:r>
      <w:r>
        <w:rPr>
          <w:rFonts w:cs="Times New Roman"/>
        </w:rPr>
        <w:t xml:space="preserve">and 16 </w:t>
      </w:r>
      <w:proofErr w:type="spellStart"/>
      <w:r w:rsidRPr="00600D01">
        <w:rPr>
          <w:rFonts w:cs="Times New Roman"/>
        </w:rPr>
        <w:t>μ</w:t>
      </w:r>
      <w:r w:rsidRPr="00600D01">
        <w:t>m</w:t>
      </w:r>
      <w:proofErr w:type="spellEnd"/>
      <w:r>
        <w:t>/day (Table S6)</w:t>
      </w:r>
      <w:r>
        <w:rPr>
          <w:rFonts w:cs="Times New Roman"/>
        </w:rPr>
        <w:t>. The Souron1 M3 exhibit</w:t>
      </w:r>
      <w:r w:rsidR="00EA30D2">
        <w:rPr>
          <w:rFonts w:cs="Times New Roman"/>
        </w:rPr>
        <w:t>s</w:t>
      </w:r>
      <w:r>
        <w:rPr>
          <w:rFonts w:cs="Times New Roman"/>
        </w:rPr>
        <w:t xml:space="preserve"> significantly higher DSRs compared to the NKU M3. In general, DSR increases from the inner zone to the outer zone along the enamel prism in </w:t>
      </w:r>
      <w:r>
        <w:rPr>
          <w:rFonts w:cs="Times New Roman"/>
        </w:rPr>
        <w:lastRenderedPageBreak/>
        <w:t xml:space="preserve">both the M3 and the canine enamel. Within a single tooth and within each enamel zone, DSRs show a slight decrease from the </w:t>
      </w:r>
      <w:proofErr w:type="spellStart"/>
      <w:r>
        <w:rPr>
          <w:rFonts w:cs="Times New Roman"/>
        </w:rPr>
        <w:t>cuspal</w:t>
      </w:r>
      <w:proofErr w:type="spellEnd"/>
      <w:r>
        <w:rPr>
          <w:rFonts w:cs="Times New Roman"/>
        </w:rPr>
        <w:t xml:space="preserve"> region to the cervical region along the EDJ, while DSRs between enamel zones are significantly different.</w:t>
      </w:r>
      <w:r>
        <w:t xml:space="preserve"> </w:t>
      </w:r>
      <w:r>
        <w:rPr>
          <w:rFonts w:cs="Times New Roman"/>
        </w:rPr>
        <w:t>Compared to the DSRs of the wild boar (</w:t>
      </w:r>
      <w:r w:rsidRPr="00240EBD">
        <w:rPr>
          <w:rFonts w:cs="Times New Roman"/>
          <w:i/>
        </w:rPr>
        <w:t>Sus scrofa</w:t>
      </w:r>
      <w:r>
        <w:rPr>
          <w:rFonts w:cs="Times New Roman"/>
        </w:rPr>
        <w:t xml:space="preserve">) M3s </w:t>
      </w:r>
      <w:r>
        <w:rPr>
          <w:rFonts w:cs="Times New Roman"/>
        </w:rPr>
        <w:fldChar w:fldCharType="begin"/>
      </w:r>
      <w:r w:rsidR="000B3CB2">
        <w:rPr>
          <w:rFonts w:cs="Times New Roman"/>
        </w:rPr>
        <w:instrText xml:space="preserve"> ADDIN EN.CITE &lt;EndNote&gt;&lt;Cite&gt;&lt;Author&gt;Kierdorf&lt;/Author&gt;&lt;Year&gt;2019&lt;/Year&gt;&lt;RecNum&gt;646&lt;/RecNum&gt;&lt;DisplayText&gt;(Kierdorf et al., 2019)&lt;/DisplayText&gt;&lt;record&gt;&lt;rec-number&gt;646&lt;/rec-number&gt;&lt;foreign-keys&gt;&lt;key app="EN" db-id="tfdrzwraavd093eezvk5z5ehd2xvxse2wfar" timestamp="1554151712"&gt;646&lt;/key&gt;&lt;/foreign-keys&gt;&lt;ref-type name="Journal Article"&gt;17&lt;/ref-type&gt;&lt;contributors&gt;&lt;authors&gt;&lt;author&gt;Kierdorf, Horst&lt;/author&gt;&lt;author&gt;Breuer, Friederike&lt;/author&gt;&lt;author&gt;Witzel, Carsten&lt;/author&gt;&lt;author&gt;Kierdorf, Uwe&lt;/author&gt;&lt;/authors&gt;&lt;/contributors&gt;&lt;titles&gt;&lt;title&gt;Pig enamel revisited – Incremental markings in enamel of wild boars and domestic pigs&lt;/title&gt;&lt;secondary-title&gt;Journal of Structural Biology&lt;/secondary-title&gt;&lt;/titles&gt;&lt;periodical&gt;&lt;full-title&gt;Journal of Structural Biology&lt;/full-title&gt;&lt;abbr-1&gt;J Struct Biol&lt;/abbr-1&gt;&lt;abbr-2&gt;J. Struct. Biol.&lt;/abbr-2&gt;&lt;/periodical&gt;&lt;pages&gt;48-59&lt;/pages&gt;&lt;volume&gt;205&lt;/volume&gt;&lt;number&gt;1&lt;/number&gt;&lt;keywords&gt;&lt;keyword&gt;Crown formation time&lt;/keyword&gt;&lt;keyword&gt;Daily secretion rate&lt;/keyword&gt;&lt;keyword&gt;Enamel formation&lt;/keyword&gt;&lt;keyword&gt;Incremental markings&lt;/keyword&gt;&lt;keyword&gt;Laminations&lt;/keyword&gt;&lt;keyword&gt;Perikymata&lt;/keyword&gt;&lt;/keywords&gt;&lt;dates&gt;&lt;year&gt;2019&lt;/year&gt;&lt;pub-dates&gt;&lt;date&gt;2019/01/01/&lt;/date&gt;&lt;/pub-dates&gt;&lt;/dates&gt;&lt;isbn&gt;1047-8477&lt;/isbn&gt;&lt;urls&gt;&lt;related-urls&gt;&lt;url&gt;http://www.sciencedirect.com/science/article/pii/S1047847718303095&lt;/url&gt;&lt;/related-urls&gt;&lt;/urls&gt;&lt;electronic-resource-num&gt;https://doi.org/10.1016/j.jsb.2018.11.009&lt;/electronic-resource-num&gt;&lt;/record&gt;&lt;/Cite&gt;&lt;/EndNote&gt;</w:instrText>
      </w:r>
      <w:r>
        <w:rPr>
          <w:rFonts w:cs="Times New Roman"/>
        </w:rPr>
        <w:fldChar w:fldCharType="separate"/>
      </w:r>
      <w:r>
        <w:rPr>
          <w:rFonts w:cs="Times New Roman"/>
          <w:noProof/>
        </w:rPr>
        <w:t>(</w:t>
      </w:r>
      <w:hyperlink w:anchor="_ENREF_9" w:tooltip="Kierdorf, 2019 #646" w:history="1">
        <w:r w:rsidR="000B3CB2">
          <w:rPr>
            <w:rFonts w:cs="Times New Roman"/>
            <w:noProof/>
          </w:rPr>
          <w:t>Kierdorf et al., 2019</w:t>
        </w:r>
      </w:hyperlink>
      <w:r>
        <w:rPr>
          <w:rFonts w:cs="Times New Roman"/>
          <w:noProof/>
        </w:rPr>
        <w:t>)</w:t>
      </w:r>
      <w:r>
        <w:rPr>
          <w:rFonts w:cs="Times New Roman"/>
        </w:rPr>
        <w:fldChar w:fldCharType="end"/>
      </w:r>
      <w:r>
        <w:rPr>
          <w:rFonts w:cs="Times New Roman"/>
        </w:rPr>
        <w:t xml:space="preserve">, the DSRs of the warthog M3s share a similar pattern of variation among enamel zones. </w:t>
      </w:r>
    </w:p>
    <w:p w14:paraId="7D2FDECC" w14:textId="77777777" w:rsidR="007561F6" w:rsidRDefault="007561F6" w:rsidP="007561F6">
      <w:pPr>
        <w:rPr>
          <w:rFonts w:cs="Times New Roman"/>
        </w:rPr>
      </w:pPr>
    </w:p>
    <w:p w14:paraId="30833265" w14:textId="1A5BA382" w:rsidR="007561F6" w:rsidRDefault="007561F6" w:rsidP="007561F6">
      <w:pPr>
        <w:rPr>
          <w:rFonts w:cs="Times New Roman"/>
        </w:rPr>
      </w:pPr>
      <w:r>
        <w:rPr>
          <w:rFonts w:cs="Times New Roman"/>
        </w:rPr>
        <w:tab/>
        <w:t xml:space="preserve">The significant difference in DSRs between the Souron1 and the NKU M3s is likely due to the different developmental stages of the two teeth, with the Souron1 M3 being </w:t>
      </w:r>
      <w:r w:rsidR="00EA30D2">
        <w:rPr>
          <w:rFonts w:cs="Times New Roman"/>
        </w:rPr>
        <w:t xml:space="preserve">only slightly </w:t>
      </w:r>
      <w:r>
        <w:rPr>
          <w:rFonts w:cs="Times New Roman"/>
        </w:rPr>
        <w:t>worn and the NKU M3 being moderately worn and with roots formed. It is also possible that the differences relate to inter-individual variation or sexual dimorphism, which we do not have enough information to discern. Future studies that sample a wider range of developmental or wear stages of warthog M3s with known sexes will help to resolve this concern. In terms of absolute DSR, warthog M3s have overall higher DSRs (</w:t>
      </w:r>
      <w:r w:rsidRPr="0064736E">
        <w:rPr>
          <w:rFonts w:cs="Times New Roman"/>
          <w:i/>
        </w:rPr>
        <w:t>ca.</w:t>
      </w:r>
      <w:r>
        <w:rPr>
          <w:rFonts w:cs="Times New Roman"/>
        </w:rPr>
        <w:t xml:space="preserve"> +20 % on average) than those of the wild boar M3s. This observation suggests that the striking difference in crown height between the warthog and the wild boar is only partially due to higher DSRs, but to a greater extent due to the high enamel extension rates that are associated with low appositional angles (EFF angle) in the warthog. This has also been observed in apes </w:t>
      </w:r>
      <w:r>
        <w:rPr>
          <w:rFonts w:cs="Times New Roman"/>
        </w:rPr>
        <w:fldChar w:fldCharType="begin"/>
      </w:r>
      <w:r>
        <w:rPr>
          <w:rFonts w:cs="Times New Roman"/>
        </w:rPr>
        <w:instrText xml:space="preserve"> ADDIN EN.CITE &lt;EndNote&gt;&lt;Cite&gt;&lt;Author&gt;McGrath&lt;/Author&gt;&lt;Year&gt;2019&lt;/Year&gt;&lt;RecNum&gt;950&lt;/RecNum&gt;&lt;DisplayText&gt;(McGrath et al., 2019)&lt;/DisplayText&gt;&lt;record&gt;&lt;rec-number&gt;950&lt;/rec-number&gt;&lt;foreign-keys&gt;&lt;key app="EN" db-id="tfdrzwraavd093eezvk5z5ehd2xvxse2wfar" timestamp="1578676765"&gt;950&lt;/key&gt;&lt;/foreign-keys&gt;&lt;ref-type name="Journal Article"&gt;17&lt;/ref-type&gt;&lt;contributors&gt;&lt;authors&gt;&lt;author&gt;McGrath, Kate&lt;/author&gt;&lt;author&gt;Reid, Donald J.&lt;/author&gt;&lt;author&gt;Guatelli-Steinberg, Debbie&lt;/author&gt;&lt;author&gt;Arbenz-Smith, Keely&lt;/author&gt;&lt;author&gt;El Zaatari, Sireen&lt;/author&gt;&lt;author&gt;Fatica, Lawrence M.&lt;/author&gt;&lt;author&gt;Kralick, Alexandra E.&lt;/author&gt;&lt;author&gt;Cranfield, Michael R.&lt;/author&gt;&lt;author&gt;Stoinski, Tara S.&lt;/author&gt;&lt;author&gt;Bromage, Timothy G.&lt;/author&gt;&lt;author&gt;Mudakikwa, Antoine&lt;/author&gt;&lt;author&gt;McFarlin, Shannon C.&lt;/author&gt;&lt;/authors&gt;&lt;/contributors&gt;&lt;titles&gt;&lt;title&gt;Faster growth corresponds with shallower linear hypoplastic defects in great ape canines&lt;/title&gt;&lt;secondary-title&gt;Journal of Human Evolution&lt;/secondary-title&gt;&lt;/titles&gt;&lt;periodical&gt;&lt;full-title&gt;Journal of Human Evolution&lt;/full-title&gt;&lt;abbr-1&gt;J Hum Evol&lt;/abbr-1&gt;&lt;abbr-2&gt;J. Hum. Evol.&lt;/abbr-2&gt;&lt;/periodical&gt;&lt;pages&gt;102691&lt;/pages&gt;&lt;volume&gt;137&lt;/volume&gt;&lt;keywords&gt;&lt;keyword&gt;Dental development&lt;/keyword&gt;&lt;keyword&gt;Linear enamel hypoplasia&lt;/keyword&gt;&lt;keyword&gt;Hominoids&lt;/keyword&gt;&lt;/keywords&gt;&lt;dates&gt;&lt;year&gt;2019&lt;/year&gt;&lt;pub-dates&gt;&lt;date&gt;2019/12/01/&lt;/date&gt;&lt;/pub-dates&gt;&lt;/dates&gt;&lt;isbn&gt;0047-2484&lt;/isbn&gt;&lt;urls&gt;&lt;related-urls&gt;&lt;url&gt;http://www.sciencedirect.com/science/article/pii/S004724841930212X&lt;/url&gt;&lt;/related-urls&gt;&lt;/urls&gt;&lt;electronic-resource-num&gt;https://doi.org/10.1016/j.jhevol.2019.102691&lt;/electronic-resource-num&gt;&lt;/record&gt;&lt;/Cite&gt;&lt;/EndNote&gt;</w:instrText>
      </w:r>
      <w:r>
        <w:rPr>
          <w:rFonts w:cs="Times New Roman"/>
        </w:rPr>
        <w:fldChar w:fldCharType="separate"/>
      </w:r>
      <w:r>
        <w:rPr>
          <w:rFonts w:cs="Times New Roman"/>
          <w:noProof/>
        </w:rPr>
        <w:t>(</w:t>
      </w:r>
      <w:hyperlink w:anchor="_ENREF_10" w:tooltip="McGrath, 2019 #950" w:history="1">
        <w:r w:rsidR="000B3CB2">
          <w:rPr>
            <w:rFonts w:cs="Times New Roman"/>
            <w:noProof/>
          </w:rPr>
          <w:t>McGrath et al., 2019</w:t>
        </w:r>
      </w:hyperlink>
      <w:r>
        <w:rPr>
          <w:rFonts w:cs="Times New Roman"/>
          <w:noProof/>
        </w:rPr>
        <w:t>)</w:t>
      </w:r>
      <w:r>
        <w:rPr>
          <w:rFonts w:cs="Times New Roman"/>
        </w:rPr>
        <w:fldChar w:fldCharType="end"/>
      </w:r>
      <w:r>
        <w:rPr>
          <w:rFonts w:cs="Times New Roman"/>
        </w:rPr>
        <w:t xml:space="preserve">, hominins </w:t>
      </w:r>
      <w:r>
        <w:rPr>
          <w:rFonts w:cs="Times New Roman"/>
        </w:rPr>
        <w:fldChar w:fldCharType="begin"/>
      </w:r>
      <w:r>
        <w:rPr>
          <w:rFonts w:cs="Times New Roman"/>
        </w:rPr>
        <w:instrText xml:space="preserve"> ADDIN EN.CITE &lt;EndNote&gt;&lt;Cite&gt;&lt;Author&gt;Dean&lt;/Author&gt;&lt;Year&gt;2009&lt;/Year&gt;&lt;RecNum&gt;991&lt;/RecNum&gt;&lt;DisplayText&gt;(Dean, 2009)&lt;/DisplayText&gt;&lt;record&gt;&lt;rec-number&gt;991&lt;/rec-number&gt;&lt;foreign-keys&gt;&lt;key app="EN" db-id="tfdrzwraavd093eezvk5z5ehd2xvxse2wfar" timestamp="1581109647"&gt;991&lt;/key&gt;&lt;/foreign-keys&gt;&lt;ref-type name="Book Section"&gt;5&lt;/ref-type&gt;&lt;contributors&gt;&lt;authors&gt;&lt;author&gt;Dean, Christopher&lt;/author&gt;&lt;/authors&gt;&lt;secondary-authors&gt;&lt;author&gt;Koppe T&lt;/author&gt;&lt;author&gt;Meyer G&lt;/author&gt;&lt;author&gt;Alt KW&lt;/author&gt;&lt;/secondary-authors&gt;&lt;/contributors&gt;&lt;titles&gt;&lt;title&gt;Extension rates and growth in tooth height of modern human and fossil hominin canines and molars&lt;/title&gt;&lt;secondary-title&gt;Comparative dental morphology&lt;/secondary-title&gt;&lt;/titles&gt;&lt;pages&gt;68-73&lt;/pages&gt;&lt;volume&gt;13&lt;/volume&gt;&lt;dates&gt;&lt;year&gt;2009&lt;/year&gt;&lt;/dates&gt;&lt;pub-location&gt;Basel&lt;/pub-location&gt;&lt;publisher&gt;Karger Publishers&lt;/publisher&gt;&lt;urls&gt;&lt;/urls&gt;&lt;/record&gt;&lt;/Cite&gt;&lt;/EndNote&gt;</w:instrText>
      </w:r>
      <w:r>
        <w:rPr>
          <w:rFonts w:cs="Times New Roman"/>
        </w:rPr>
        <w:fldChar w:fldCharType="separate"/>
      </w:r>
      <w:r>
        <w:rPr>
          <w:rFonts w:cs="Times New Roman"/>
          <w:noProof/>
        </w:rPr>
        <w:t>(</w:t>
      </w:r>
      <w:hyperlink w:anchor="_ENREF_5" w:tooltip="Dean, 2009 #991" w:history="1">
        <w:r w:rsidR="000B3CB2">
          <w:rPr>
            <w:rFonts w:cs="Times New Roman"/>
            <w:noProof/>
          </w:rPr>
          <w:t>Dean, 2009</w:t>
        </w:r>
      </w:hyperlink>
      <w:r>
        <w:rPr>
          <w:rFonts w:cs="Times New Roman"/>
          <w:noProof/>
        </w:rPr>
        <w:t>)</w:t>
      </w:r>
      <w:r>
        <w:rPr>
          <w:rFonts w:cs="Times New Roman"/>
        </w:rPr>
        <w:fldChar w:fldCharType="end"/>
      </w:r>
      <w:r>
        <w:rPr>
          <w:rFonts w:cs="Times New Roman"/>
        </w:rPr>
        <w:t xml:space="preserve">, and fossil equids of different crown heights </w:t>
      </w:r>
      <w:r>
        <w:rPr>
          <w:rFonts w:cs="Times New Roman"/>
        </w:rPr>
        <w:fldChar w:fldCharType="begin"/>
      </w:r>
      <w:r w:rsidR="005706CA">
        <w:rPr>
          <w:rFonts w:cs="Times New Roman"/>
        </w:rPr>
        <w:instrText xml:space="preserve"> ADDIN EN.CITE &lt;EndNote&gt;&lt;Cite&gt;&lt;Author&gt;Nacarino-Meneses&lt;/Author&gt;&lt;Year&gt;2017&lt;/Year&gt;&lt;RecNum&gt;901&lt;/RecNum&gt;&lt;DisplayText&gt;(Nacarino-Meneses et al., 2017)&lt;/DisplayText&gt;&lt;record&gt;&lt;rec-number&gt;901&lt;/rec-number&gt;&lt;foreign-keys&gt;&lt;key app="EN" db-id="tfdrzwraavd093eezvk5z5ehd2xvxse2wfar" timestamp="1574282722"&gt;901&lt;/key&gt;&lt;/foreign-keys&gt;&lt;ref-type name="Journal Article"&gt;17&lt;/ref-type&gt;&lt;contributors&gt;&lt;authors&gt;&lt;author&gt;Nacarino-Meneses, Carmen&lt;/author&gt;&lt;author&gt;Jordana, Xavier&lt;/author&gt;&lt;author&gt;Orlandi-Oliveras, Guillem&lt;/author&gt;&lt;author&gt;Köhler, Meike&lt;/author&gt;&lt;/authors&gt;&lt;/contributors&gt;&lt;titles&gt;&lt;title&gt;&lt;style face="normal" font="default" size="100%"&gt;Reconstructing molar growth from enamel histology in extant and extinct &lt;/style&gt;&lt;style face="italic" font="default" size="100%"&gt;Equus&lt;/style&gt;&lt;/title&gt;&lt;secondary-title&gt;Scientific Reports&lt;/secondary-title&gt;&lt;/titles&gt;&lt;periodical&gt;&lt;full-title&gt;Scientific Reports&lt;/full-title&gt;&lt;abbr-1&gt;Sci Rep&lt;/abbr-1&gt;&lt;abbr-2&gt;Sci. Rep.&lt;/abbr-2&gt;&lt;/periodical&gt;&lt;pages&gt;15965&lt;/pages&gt;&lt;volume&gt;7&lt;/volume&gt;&lt;number&gt;1&lt;/number&gt;&lt;dates&gt;&lt;year&gt;2017&lt;/year&gt;&lt;pub-dates&gt;&lt;date&gt;2017/11/21&lt;/date&gt;&lt;/pub-dates&gt;&lt;/dates&gt;&lt;isbn&gt;2045-2322&lt;/isbn&gt;&lt;urls&gt;&lt;related-urls&gt;&lt;url&gt;https://doi.org/10.1038/s41598-017-16227-2&lt;/url&gt;&lt;/related-urls&gt;&lt;/urls&gt;&lt;electronic-resource-num&gt;10.1038/s41598-017-16227-2&lt;/electronic-resource-num&gt;&lt;/record&gt;&lt;/Cite&gt;&lt;/EndNote&gt;</w:instrText>
      </w:r>
      <w:r>
        <w:rPr>
          <w:rFonts w:cs="Times New Roman"/>
        </w:rPr>
        <w:fldChar w:fldCharType="separate"/>
      </w:r>
      <w:r>
        <w:rPr>
          <w:rFonts w:cs="Times New Roman"/>
          <w:noProof/>
        </w:rPr>
        <w:t>(</w:t>
      </w:r>
      <w:hyperlink w:anchor="_ENREF_11" w:tooltip="Nacarino-Meneses, 2017 #901" w:history="1">
        <w:r w:rsidR="000B3CB2">
          <w:rPr>
            <w:rFonts w:cs="Times New Roman"/>
            <w:noProof/>
          </w:rPr>
          <w:t>Nacarino-Meneses et al., 2017</w:t>
        </w:r>
      </w:hyperlink>
      <w:r>
        <w:rPr>
          <w:rFonts w:cs="Times New Roman"/>
          <w:noProof/>
        </w:rPr>
        <w:t>)</w:t>
      </w:r>
      <w:r>
        <w:rPr>
          <w:rFonts w:cs="Times New Roman"/>
        </w:rPr>
        <w:fldChar w:fldCharType="end"/>
      </w:r>
      <w:r>
        <w:rPr>
          <w:rFonts w:cs="Times New Roman"/>
        </w:rPr>
        <w:t>. The results here reinforce the importance of the relationship between the appositional angle and enamel extension rate discussed before.</w:t>
      </w:r>
    </w:p>
    <w:p w14:paraId="343110F4" w14:textId="77777777" w:rsidR="007561F6" w:rsidRPr="002A56FC" w:rsidRDefault="007561F6" w:rsidP="007561F6">
      <w:pPr>
        <w:rPr>
          <w:rFonts w:cs="Times New Roman"/>
        </w:rPr>
      </w:pPr>
    </w:p>
    <w:p w14:paraId="59642653" w14:textId="77777777" w:rsidR="007561F6" w:rsidRPr="002A56FC" w:rsidRDefault="007561F6" w:rsidP="007561F6">
      <w:pPr>
        <w:rPr>
          <w:rFonts w:cs="Times New Roman"/>
          <w:b/>
        </w:rPr>
      </w:pPr>
      <w:r>
        <w:rPr>
          <w:rFonts w:cs="Times New Roman"/>
          <w:b/>
        </w:rPr>
        <w:t>10</w:t>
      </w:r>
      <w:r w:rsidRPr="002A56FC">
        <w:rPr>
          <w:rFonts w:cs="Times New Roman"/>
          <w:b/>
        </w:rPr>
        <w:t>.</w:t>
      </w:r>
      <w:r>
        <w:rPr>
          <w:rFonts w:cs="Times New Roman"/>
        </w:rPr>
        <w:t xml:space="preserve"> </w:t>
      </w:r>
      <w:r>
        <w:rPr>
          <w:rFonts w:cs="Times New Roman"/>
          <w:b/>
        </w:rPr>
        <w:t>Additional d</w:t>
      </w:r>
      <w:r w:rsidRPr="002A56FC">
        <w:rPr>
          <w:rFonts w:cs="Times New Roman"/>
          <w:b/>
        </w:rPr>
        <w:t xml:space="preserve">iscussion </w:t>
      </w:r>
      <w:r>
        <w:rPr>
          <w:rFonts w:cs="Times New Roman"/>
          <w:b/>
        </w:rPr>
        <w:t>on</w:t>
      </w:r>
      <w:r w:rsidRPr="002A56FC">
        <w:rPr>
          <w:rFonts w:cs="Times New Roman"/>
          <w:b/>
        </w:rPr>
        <w:t xml:space="preserve"> the </w:t>
      </w:r>
      <w:r>
        <w:rPr>
          <w:rFonts w:cs="Times New Roman"/>
          <w:b/>
        </w:rPr>
        <w:t>carbon isotope spacing</w:t>
      </w:r>
      <w:r w:rsidRPr="002A56FC">
        <w:rPr>
          <w:rFonts w:cs="Times New Roman"/>
          <w:b/>
        </w:rPr>
        <w:t xml:space="preserve"> between canine enamel and </w:t>
      </w:r>
      <w:r>
        <w:rPr>
          <w:rFonts w:cs="Times New Roman"/>
          <w:b/>
        </w:rPr>
        <w:t xml:space="preserve">enamel of </w:t>
      </w:r>
      <w:r w:rsidRPr="002A56FC">
        <w:rPr>
          <w:rFonts w:cs="Times New Roman"/>
          <w:b/>
        </w:rPr>
        <w:t>other tooth types</w:t>
      </w:r>
    </w:p>
    <w:p w14:paraId="721F1524" w14:textId="43FB3180" w:rsidR="007561F6" w:rsidRDefault="007561F6" w:rsidP="007561F6">
      <w:r>
        <w:lastRenderedPageBreak/>
        <w:tab/>
        <w:t xml:space="preserve">A carbon isotope spacing </w:t>
      </w:r>
      <w:r w:rsidRPr="00F56651">
        <w:t xml:space="preserve">between </w:t>
      </w:r>
      <w:r>
        <w:t>c</w:t>
      </w:r>
      <w:r w:rsidRPr="00F56651">
        <w:t>anine and incisor</w:t>
      </w:r>
      <w:r>
        <w:t xml:space="preserve"> (</w:t>
      </w:r>
      <w:r>
        <w:rPr>
          <w:rFonts w:cs="Times New Roman"/>
          <w:i/>
        </w:rPr>
        <w:t>Δ</w:t>
      </w:r>
      <w:r>
        <w:rPr>
          <w:rFonts w:cs="Times New Roman"/>
          <w:vertAlign w:val="subscript"/>
        </w:rPr>
        <w:t>c</w:t>
      </w:r>
      <w:r w:rsidRPr="00D973D5">
        <w:rPr>
          <w:rFonts w:cs="Times New Roman"/>
          <w:vertAlign w:val="subscript"/>
        </w:rPr>
        <w:t>-</w:t>
      </w:r>
      <w:r>
        <w:rPr>
          <w:rFonts w:cs="Times New Roman"/>
          <w:vertAlign w:val="subscript"/>
        </w:rPr>
        <w:t>i</w:t>
      </w:r>
      <w:r w:rsidRPr="004826A7">
        <w:rPr>
          <w:rFonts w:cs="Times New Roman"/>
          <w:szCs w:val="24"/>
          <w:vertAlign w:val="superscript"/>
        </w:rPr>
        <w:t>13</w:t>
      </w:r>
      <w:r w:rsidRPr="004826A7">
        <w:rPr>
          <w:rFonts w:cs="Times New Roman"/>
        </w:rPr>
        <w:t>C</w:t>
      </w:r>
      <w:r>
        <w:t>)</w:t>
      </w:r>
      <w:r w:rsidRPr="00F56651">
        <w:t xml:space="preserve"> profiles</w:t>
      </w:r>
      <w:r>
        <w:t xml:space="preserve"> was also found in domestic pigs </w:t>
      </w:r>
      <w:r>
        <w:fldChar w:fldCharType="begin"/>
      </w:r>
      <w:r>
        <w:instrText xml:space="preserve"> ADDIN EN.CITE &lt;EndNote&gt;&lt;Cite&gt;&lt;Author&gt;Frémondeau&lt;/Author&gt;&lt;Year&gt;2012&lt;/Year&gt;&lt;RecNum&gt;182&lt;/RecNum&gt;&lt;DisplayText&gt;(Frémondeau et al., 2012)&lt;/DisplayText&gt;&lt;record&gt;&lt;rec-number&gt;182&lt;/rec-number&gt;&lt;foreign-keys&gt;&lt;key app="EN" db-id="tfdrzwraavd093eezvk5z5ehd2xvxse2wfar" timestamp="1472560847"&gt;182&lt;/key&gt;&lt;/foreign-keys&gt;&lt;ref-type name="Journal Article"&gt;17&lt;/ref-type&gt;&lt;contributors&gt;&lt;authors&gt;&lt;author&gt;Frémondeau, Delphine&lt;/author&gt;&lt;author&gt;Cucchi, Thomas&lt;/author&gt;&lt;author&gt;Casabianca, François&lt;/author&gt;&lt;author&gt;Ughetto-Monfrin, Joël&lt;/author&gt;&lt;author&gt;Horard-Herbin, M-P&lt;/author&gt;&lt;author&gt;Balasse, Marie&lt;/author&gt;&lt;/authors&gt;&lt;/contributors&gt;&lt;titles&gt;&lt;title&gt;&lt;style face="normal" font="default" size="100%"&gt;Seasonality of birth and diet of pigs from stable isotope analyses of tooth enamel (δ&lt;/style&gt;&lt;style face="superscript" font="default" size="100%"&gt;18&lt;/style&gt;&lt;style face="normal" font="default" size="100%"&gt;O, δ&lt;/style&gt;&lt;style face="superscript" font="default" size="100%"&gt;13&lt;/style&gt;&lt;style face="normal" font="default" size="100%"&gt;C): a modern reference data set from Corsica, France&lt;/style&gt;&lt;/title&gt;&lt;secondary-title&gt;Journal of Archaeological Science&lt;/secondary-title&gt;&lt;/titles&gt;&lt;periodical&gt;&lt;full-title&gt;Journal of Archaeological Science&lt;/full-title&gt;&lt;abbr-1&gt;J Archaeol Sci&lt;/abbr-1&gt;&lt;abbr-2&gt;J. Archaeol. Sci.&lt;/abbr-2&gt;&lt;/periodical&gt;&lt;pages&gt;2023-2035&lt;/pages&gt;&lt;volume&gt;39&lt;/volume&gt;&lt;number&gt;7&lt;/number&gt;&lt;dates&gt;&lt;year&gt;2012&lt;/year&gt;&lt;/dates&gt;&lt;isbn&gt;0305-4403&lt;/isbn&gt;&lt;urls&gt;&lt;/urls&gt;&lt;/record&gt;&lt;/Cite&gt;&lt;/EndNote&gt;</w:instrText>
      </w:r>
      <w:r>
        <w:fldChar w:fldCharType="separate"/>
      </w:r>
      <w:r>
        <w:rPr>
          <w:noProof/>
        </w:rPr>
        <w:t>(</w:t>
      </w:r>
      <w:hyperlink w:anchor="_ENREF_6" w:tooltip="Frémondeau, 2012 #182" w:history="1">
        <w:r w:rsidR="000B3CB2">
          <w:rPr>
            <w:noProof/>
          </w:rPr>
          <w:t>Frémondeau et al., 2012</w:t>
        </w:r>
      </w:hyperlink>
      <w:r>
        <w:rPr>
          <w:noProof/>
        </w:rPr>
        <w:t>)</w:t>
      </w:r>
      <w:r>
        <w:fldChar w:fldCharType="end"/>
      </w:r>
      <w:r w:rsidRPr="00F56651">
        <w:t>. The authors observed that the amplitude of change in the canines are larger than those in other teeth. Isotope profiles o</w:t>
      </w:r>
      <w:r w:rsidR="00EA30D2">
        <w:t>f</w:t>
      </w:r>
      <w:r w:rsidRPr="00F56651">
        <w:t xml:space="preserve"> M3s are also available in</w:t>
      </w:r>
      <w:r>
        <w:t xml:space="preserve"> </w:t>
      </w:r>
      <w:hyperlink w:anchor="_ENREF_6" w:tooltip="Frémondeau, 2012 #182" w:history="1">
        <w:r w:rsidR="000B3CB2">
          <w:fldChar w:fldCharType="begin"/>
        </w:r>
        <w:r w:rsidR="000B3CB2">
          <w:instrText xml:space="preserve"> ADDIN EN.CITE &lt;EndNote&gt;&lt;Cite AuthorYear="1"&gt;&lt;Author&gt;Frémondeau&lt;/Author&gt;&lt;Year&gt;2012&lt;/Year&gt;&lt;RecNum&gt;182&lt;/RecNum&gt;&lt;DisplayText&gt;Frémondeau et al. (2012)&lt;/DisplayText&gt;&lt;record&gt;&lt;rec-number&gt;182&lt;/rec-number&gt;&lt;foreign-keys&gt;&lt;key app="EN" db-id="tfdrzwraavd093eezvk5z5ehd2xvxse2wfar" timestamp="1472560847"&gt;182&lt;/key&gt;&lt;/foreign-keys&gt;&lt;ref-type name="Journal Article"&gt;17&lt;/ref-type&gt;&lt;contributors&gt;&lt;authors&gt;&lt;author&gt;Frémondeau, Delphine&lt;/author&gt;&lt;author&gt;Cucchi, Thomas&lt;/author&gt;&lt;author&gt;Casabianca, François&lt;/author&gt;&lt;author&gt;Ughetto-Monfrin, Joël&lt;/author&gt;&lt;author&gt;Horard-Herbin, M-P&lt;/author&gt;&lt;author&gt;Balasse, Marie&lt;/author&gt;&lt;/authors&gt;&lt;/contributors&gt;&lt;titles&gt;&lt;title&gt;&lt;style face="normal" font="default" size="100%"&gt;Seasonality of birth and diet of pigs from stable isotope analyses of tooth enamel (δ&lt;/style&gt;&lt;style face="superscript" font="default" size="100%"&gt;18&lt;/style&gt;&lt;style face="normal" font="default" size="100%"&gt;O, δ&lt;/style&gt;&lt;style face="superscript" font="default" size="100%"&gt;13&lt;/style&gt;&lt;style face="normal" font="default" size="100%"&gt;C): a modern reference data set from Corsica, France&lt;/style&gt;&lt;/title&gt;&lt;secondary-title&gt;Journal of Archaeological Science&lt;/secondary-title&gt;&lt;/titles&gt;&lt;periodical&gt;&lt;full-title&gt;Journal of Archaeological Science&lt;/full-title&gt;&lt;abbr-1&gt;J Archaeol Sci&lt;/abbr-1&gt;&lt;abbr-2&gt;J. Archaeol. Sci.&lt;/abbr-2&gt;&lt;/periodical&gt;&lt;pages&gt;2023-2035&lt;/pages&gt;&lt;volume&gt;39&lt;/volume&gt;&lt;number&gt;7&lt;/number&gt;&lt;dates&gt;&lt;year&gt;2012&lt;/year&gt;&lt;/dates&gt;&lt;isbn&gt;0305-4403&lt;/isbn&gt;&lt;urls&gt;&lt;/urls&gt;&lt;/record&gt;&lt;/Cite&gt;&lt;/EndNote&gt;</w:instrText>
        </w:r>
        <w:r w:rsidR="000B3CB2">
          <w:fldChar w:fldCharType="separate"/>
        </w:r>
        <w:r w:rsidR="000B3CB2">
          <w:rPr>
            <w:noProof/>
          </w:rPr>
          <w:t>Frémondeau et al. (2012)</w:t>
        </w:r>
        <w:r w:rsidR="000B3CB2">
          <w:fldChar w:fldCharType="end"/>
        </w:r>
      </w:hyperlink>
      <w:r w:rsidRPr="00F56651">
        <w:t xml:space="preserve">. However, it was difficult to match the variation patterns of </w:t>
      </w:r>
      <w:r w:rsidR="00EA30D2">
        <w:t xml:space="preserve">the </w:t>
      </w:r>
      <w:r w:rsidRPr="00F56651">
        <w:t>M3 to those of the canines in the same individual because of a much more attenuated signal in the M3. Nevertheless, the incisors (both I1 and I2 combined) show similar pattern</w:t>
      </w:r>
      <w:r w:rsidR="00EA30D2">
        <w:t>s</w:t>
      </w:r>
      <w:r w:rsidRPr="00F56651">
        <w:t xml:space="preserve"> of variation in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t xml:space="preserve"> compared to th</w:t>
      </w:r>
      <w:r w:rsidR="00EA30D2">
        <w:t>ose</w:t>
      </w:r>
      <w:r w:rsidRPr="00F56651">
        <w:t xml:space="preserve"> of the canines. </w:t>
      </w:r>
      <w:r w:rsidRPr="00D52EF8">
        <w:t>Figure S</w:t>
      </w:r>
      <w:r w:rsidR="00D52EF8" w:rsidRPr="00A901B1">
        <w:t>6</w:t>
      </w:r>
      <w:r w:rsidRPr="00D52EF8">
        <w:t xml:space="preserve"> </w:t>
      </w:r>
      <w:r w:rsidRPr="00F56651">
        <w:t xml:space="preserve">shows </w:t>
      </w:r>
      <w:r>
        <w:t>four</w:t>
      </w:r>
      <w:r w:rsidRPr="00F56651">
        <w:t xml:space="preserve"> out of </w:t>
      </w:r>
      <w:r>
        <w:t>five</w:t>
      </w:r>
      <w:r w:rsidRPr="00F56651">
        <w:t xml:space="preserve"> domestic pig incisor and canine profiles. </w:t>
      </w:r>
      <w:r>
        <w:t xml:space="preserve">The one specimen that is omitted here has isotope profiles that lack characteristic seasonal patterns, making it difficult to interpret. </w:t>
      </w:r>
      <w:r w:rsidRPr="00F56651">
        <w:t>The differenc</w:t>
      </w:r>
      <w:r>
        <w:t>es</w:t>
      </w:r>
      <w:r w:rsidRPr="00F56651">
        <w:t xml:space="preserve"> between the overlapping portion of the canine and incisor profiles are summarized in </w:t>
      </w:r>
      <w:r w:rsidRPr="008226E3">
        <w:t xml:space="preserve">Table S3. </w:t>
      </w:r>
      <w:r w:rsidRPr="00F56651">
        <w:t xml:space="preserve">Due to the different sampling intervals between I1 and I2, resampling (2,000 iterations) was performed to </w:t>
      </w:r>
      <w:r>
        <w:t>account for</w:t>
      </w:r>
      <w:r w:rsidRPr="00F56651">
        <w:t xml:space="preserve"> skew</w:t>
      </w:r>
      <w:r>
        <w:t>ness</w:t>
      </w:r>
      <w:r w:rsidRPr="00F56651">
        <w:t xml:space="preserve"> when combining the two profiles for comparison. Therefore, the means and medians reported in </w:t>
      </w:r>
      <w:r w:rsidRPr="008226E3">
        <w:t>Table S</w:t>
      </w:r>
      <w:r>
        <w:t>4</w:t>
      </w:r>
      <w:r w:rsidRPr="008226E3">
        <w:t xml:space="preserve"> </w:t>
      </w:r>
      <w:r w:rsidRPr="00F56651">
        <w:t>are results based on resampling and marked with an asterisk (*). The difference</w:t>
      </w:r>
      <w:r>
        <w:t>s</w:t>
      </w:r>
      <w:r w:rsidRPr="00F56651">
        <w:t xml:space="preserve"> in the range between the I1</w:t>
      </w:r>
      <w:r w:rsidR="0003586B">
        <w:t xml:space="preserve"> +</w:t>
      </w:r>
      <w:r w:rsidRPr="00F56651">
        <w:t xml:space="preserve"> I2 combined profiles and the canine profile </w:t>
      </w:r>
      <w:r>
        <w:t>are</w:t>
      </w:r>
      <w:r w:rsidRPr="00F56651">
        <w:t xml:space="preserve"> consistently smaller than the differences between the means and the medians. This suggests that the shift between the incisors and the canine is larger than the difference in the “amplitude”.</w:t>
      </w:r>
      <w:r w:rsidRPr="00B953B8">
        <w:t xml:space="preserve"> </w:t>
      </w:r>
    </w:p>
    <w:p w14:paraId="2D7B01DC" w14:textId="77777777" w:rsidR="007561F6" w:rsidRDefault="007561F6" w:rsidP="007561F6"/>
    <w:p w14:paraId="63033175" w14:textId="77777777" w:rsidR="007561F6" w:rsidRPr="001E07F5" w:rsidRDefault="007561F6" w:rsidP="007561F6">
      <w:pPr>
        <w:rPr>
          <w:b/>
        </w:rPr>
      </w:pPr>
      <w:r>
        <w:rPr>
          <w:b/>
        </w:rPr>
        <w:t>11</w:t>
      </w:r>
      <w:r w:rsidRPr="001E07F5">
        <w:rPr>
          <w:b/>
        </w:rPr>
        <w:t xml:space="preserve">. Linear regression combining both the </w:t>
      </w:r>
      <w:r>
        <w:rPr>
          <w:b/>
        </w:rPr>
        <w:t>Souron1</w:t>
      </w:r>
      <w:r w:rsidRPr="001E07F5">
        <w:rPr>
          <w:b/>
        </w:rPr>
        <w:t xml:space="preserve"> and NKU enamel extension rate data</w:t>
      </w:r>
    </w:p>
    <w:p w14:paraId="0C8D3BDC" w14:textId="16A6CCE0" w:rsidR="007561F6" w:rsidRDefault="007561F6" w:rsidP="007561F6">
      <w:r>
        <w:tab/>
        <w:t xml:space="preserve">The timeline reconstructions based on MPL1 and MPL2 molar profiles are based on the Souron1 growth regression only. This is because the enamel in both specimens is still growing and it is relatively straightforward to estimate the amount of enamel lost due to dental wear. However, in the published M3 profiles by </w:t>
      </w:r>
      <w:hyperlink w:anchor="_ENREF_17" w:tooltip="Reid, 2019 #755" w:history="1">
        <w:r w:rsidR="000B3CB2">
          <w:fldChar w:fldCharType="begin"/>
        </w:r>
        <w:r w:rsidR="000B3CB2">
          <w:instrText xml:space="preserve"> ADDIN EN.CITE &lt;EndNote&gt;&lt;Cite AuthorYear="1"&gt;&lt;Author&gt;Reid&lt;/Author&gt;&lt;Year&gt;2019&lt;/Year&gt;&lt;RecNum&gt;755&lt;/RecNum&gt;&lt;DisplayText&gt;Reid et al. (2019)&lt;/DisplayText&gt;&lt;record&gt;&lt;rec-number&gt;755&lt;/rec-number&gt;&lt;foreign-keys&gt;&lt;key app="EN" db-id="tfdrzwraavd093eezvk5z5ehd2xvxse2wfar" timestamp="1569110173"&gt;755&lt;/key&gt;&lt;/foreign-keys&gt;&lt;ref-type name="Journal Article"&gt;17&lt;/ref-type&gt;&lt;contributors&gt;&lt;authors&gt;&lt;author&gt;Reid, Rachel E. B.&lt;/author&gt;&lt;author&gt;Jones, Mica&lt;/author&gt;&lt;author&gt;Brandt, Steven&lt;/author&gt;&lt;author&gt;Bunn, Henry&lt;/author&gt;&lt;author&gt;Marshall, Fiona&lt;/author&gt;&lt;/authors&gt;&lt;/contributors&gt;&lt;titles&gt;&lt;title&gt;Oxygen isotope analyses of ungulate tooth enamel confirm low seasonality of rainfall contributed to the African Humid Period in Somalia&lt;/title&gt;&lt;secondary-title&gt;Palaeogeography, Palaeoclimatology, Palaeoecology&lt;/secondary-title&gt;&lt;/titles&gt;&lt;periodical&gt;&lt;full-title&gt;Palaeogeography, Palaeoclimatology, Palaeoecology&lt;/full-title&gt;&lt;abbr-1&gt;Palaeogeogr Palaeoclimatol Palaeoecol&lt;/abbr-1&gt;&lt;abbr-2&gt;Palaeogeogr. Palaeoclimatol. Palaeoecol.&lt;/abbr-2&gt;&lt;/periodical&gt;&lt;pages&gt;109272&lt;/pages&gt;&lt;volume&gt;534&lt;/volume&gt;&lt;keywords&gt;&lt;keyword&gt;Carbon isotopes&lt;/keyword&gt;&lt;keyword&gt;Serial-sampling&lt;/keyword&gt;&lt;keyword&gt;Terrestrial paleoclimate&lt;/keyword&gt;&lt;keyword&gt;Eastern Africa&lt;/keyword&gt;&lt;keyword&gt;Dik-dik&lt;/keyword&gt;&lt;keyword&gt;Warthog&lt;/keyword&gt;&lt;/keywords&gt;&lt;dates&gt;&lt;year&gt;2019&lt;/year&gt;&lt;pub-dates&gt;&lt;date&gt;2019/11/15/&lt;/date&gt;&lt;/pub-dates&gt;&lt;/dates&gt;&lt;isbn&gt;0031-0182&lt;/isbn&gt;&lt;urls&gt;&lt;related-urls&gt;&lt;url&gt;http://www.sciencedirect.com/science/article/pii/S0031018219302275&lt;/url&gt;&lt;/related-urls&gt;&lt;/urls&gt;&lt;electronic-resource-num&gt;https://doi.org/10.1016/j.palaeo.2019.109272&lt;/electronic-resource-num&gt;&lt;/record&gt;&lt;/Cite&gt;&lt;/EndNote&gt;</w:instrText>
        </w:r>
        <w:r w:rsidR="000B3CB2">
          <w:fldChar w:fldCharType="separate"/>
        </w:r>
        <w:r w:rsidR="000B3CB2">
          <w:rPr>
            <w:noProof/>
          </w:rPr>
          <w:t>Reid et al. (2019)</w:t>
        </w:r>
        <w:r w:rsidR="000B3CB2">
          <w:fldChar w:fldCharType="end"/>
        </w:r>
      </w:hyperlink>
      <w:r>
        <w:t>, only the distance from the enamel</w:t>
      </w:r>
      <w:r w:rsidR="0003586B">
        <w:t>-</w:t>
      </w:r>
      <w:r>
        <w:t xml:space="preserve">root junction (cervix) is reported and most of the specimens have high crowns that are beyond </w:t>
      </w:r>
      <w:r>
        <w:lastRenderedPageBreak/>
        <w:t>the predictive range of the NKU regression. To provide more meaningful estimates for enamel extension rates and timeline reconstructions, we decided to combine the Souron1 and the NKU dataset and use one regression model for section 4.4 (Discussion) only. The main rationale behind this is based on the nearly identical slopes in the Souron1 and NKU regressions.</w:t>
      </w:r>
    </w:p>
    <w:p w14:paraId="213E1F0C" w14:textId="042A2DCB" w:rsidR="007561F6" w:rsidRDefault="007561F6" w:rsidP="007561F6">
      <w:r>
        <w:t xml:space="preserve">Enamel extension rates in the warthog molars are referenced to the length of EDJ from the estimated dentine horn location in the thin sections. We combined the two datasets by adding 35 mm to the EDJ measurement of the NKU dataset, making 58.5 mm the maximum EDJ length measurement of the dataset and 8.3 mm the minimum. The most significant effect of using this combined dataset is a smaller 95 % prediction interval of the model compared to either Souron1 or NKU, due to a higher </w:t>
      </w:r>
      <w:r w:rsidRPr="002E0090">
        <w:rPr>
          <w:i/>
        </w:rPr>
        <w:t>R</w:t>
      </w:r>
      <w:r w:rsidRPr="002E0090">
        <w:rPr>
          <w:i/>
          <w:vertAlign w:val="superscript"/>
        </w:rPr>
        <w:t>2</w:t>
      </w:r>
      <w:r>
        <w:t xml:space="preserve"> value and lower residual error. To compensate for this effect, we chose 98 % prediction interval to estimate error in the timeline reconstruction. The regression is plotted in </w:t>
      </w:r>
      <w:r w:rsidRPr="00D52EF8">
        <w:t>Figure S</w:t>
      </w:r>
      <w:r w:rsidR="00D52EF8" w:rsidRPr="00A901B1">
        <w:t>7</w:t>
      </w:r>
      <w:r>
        <w:t xml:space="preserve">. </w:t>
      </w:r>
    </w:p>
    <w:p w14:paraId="6739C4B5" w14:textId="77777777" w:rsidR="007561F6" w:rsidRDefault="007561F6" w:rsidP="007561F6">
      <w:r>
        <w:tab/>
        <w:t>Due to the fact that the regression is based on EDJ measurement from the dentine horn, we converted the isotope sampling measurement into EDJ length measurement using this equation:</w:t>
      </w:r>
    </w:p>
    <w:p w14:paraId="2E3C3A2F" w14:textId="55036A21" w:rsidR="007561F6" w:rsidRDefault="007561F6" w:rsidP="007D2724">
      <w:pPr>
        <w:jc w:val="right"/>
      </w:pPr>
      <w:r>
        <w:t xml:space="preserve">EDJL = 58.5 + 3  </w:t>
      </w:r>
      <w:r>
        <w:rPr>
          <w:rFonts w:cs="Times New Roman"/>
        </w:rPr>
        <w:t xml:space="preserve">̶  </w:t>
      </w:r>
      <w:r>
        <w:t>sampling distance (mm)</w:t>
      </w:r>
      <w:r w:rsidR="00511E5D">
        <w:tab/>
      </w:r>
      <w:r w:rsidR="00511E5D">
        <w:tab/>
      </w:r>
      <w:r w:rsidR="00511E5D">
        <w:tab/>
      </w:r>
      <w:r w:rsidR="00511E5D">
        <w:tab/>
      </w:r>
      <w:r>
        <w:t xml:space="preserve"> (5);</w:t>
      </w:r>
    </w:p>
    <w:p w14:paraId="7F0B46EE" w14:textId="77777777" w:rsidR="00511E5D" w:rsidRDefault="00511E5D" w:rsidP="005D5CE2">
      <w:pPr>
        <w:jc w:val="right"/>
      </w:pPr>
    </w:p>
    <w:p w14:paraId="5790DC2A" w14:textId="57B394AE" w:rsidR="007561F6" w:rsidRDefault="007561F6" w:rsidP="007561F6">
      <w:r>
        <w:tab/>
        <w:t xml:space="preserve">A value of 3 mm is added to the maximum length of EDJ based on the length </w:t>
      </w:r>
      <w:r w:rsidR="0003586B">
        <w:t xml:space="preserve">of </w:t>
      </w:r>
      <w:r>
        <w:t xml:space="preserve">the first decile measured in the thin section of the NKU specimen (see Supplementary S2). </w:t>
      </w:r>
    </w:p>
    <w:p w14:paraId="6B5B0ED9" w14:textId="77777777" w:rsidR="007561F6" w:rsidRPr="00A452AB" w:rsidRDefault="007561F6" w:rsidP="007561F6"/>
    <w:p w14:paraId="1F5581A3" w14:textId="77777777" w:rsidR="007561F6" w:rsidRPr="00C84F21" w:rsidRDefault="007561F6" w:rsidP="007561F6">
      <w:pPr>
        <w:pStyle w:val="ListParagraph"/>
        <w:ind w:left="0"/>
        <w:rPr>
          <w:rFonts w:cs="Times New Roman"/>
          <w:b/>
        </w:rPr>
      </w:pPr>
      <w:r>
        <w:rPr>
          <w:rFonts w:cs="Times New Roman"/>
          <w:b/>
        </w:rPr>
        <w:t>12</w:t>
      </w:r>
      <w:r w:rsidRPr="00C84F21">
        <w:rPr>
          <w:rFonts w:cs="Times New Roman"/>
          <w:b/>
        </w:rPr>
        <w:t xml:space="preserve">. List of data </w:t>
      </w:r>
      <w:r>
        <w:rPr>
          <w:rFonts w:cs="Times New Roman"/>
          <w:b/>
        </w:rPr>
        <w:t>available</w:t>
      </w:r>
      <w:r w:rsidRPr="00C84F21">
        <w:rPr>
          <w:rFonts w:cs="Times New Roman"/>
          <w:b/>
        </w:rPr>
        <w:t xml:space="preserve"> in Supplementary S2</w:t>
      </w:r>
    </w:p>
    <w:p w14:paraId="2E5B05C9" w14:textId="180E6AE5" w:rsidR="007561F6" w:rsidRDefault="007561F6" w:rsidP="007561F6">
      <w:r>
        <w:t xml:space="preserve">a) </w:t>
      </w:r>
      <w:r w:rsidRPr="00F56651">
        <w:t>Stable isotope raw data</w:t>
      </w:r>
      <w:r>
        <w:t xml:space="preserve"> for MPL1 and MPL2</w:t>
      </w:r>
    </w:p>
    <w:p w14:paraId="74F9B301" w14:textId="7C278B89" w:rsidR="007561F6" w:rsidRDefault="007561F6" w:rsidP="007561F6">
      <w:r>
        <w:t>b) Souron2 canine extension rate and appositional angle raw data</w:t>
      </w:r>
    </w:p>
    <w:p w14:paraId="2A55160A" w14:textId="1420F764" w:rsidR="007561F6" w:rsidRDefault="007561F6" w:rsidP="007561F6">
      <w:r>
        <w:lastRenderedPageBreak/>
        <w:t>c) Souron1 molar extension rate and appositional angle raw data</w:t>
      </w:r>
    </w:p>
    <w:p w14:paraId="1D3B4E09" w14:textId="4FBF6B1A" w:rsidR="007561F6" w:rsidRDefault="007561F6" w:rsidP="007561F6">
      <w:r>
        <w:t>d) NKU molar extension rate and appositional angle raw data</w:t>
      </w:r>
    </w:p>
    <w:p w14:paraId="072D5EED" w14:textId="77777777" w:rsidR="007561F6" w:rsidRDefault="007561F6" w:rsidP="007561F6">
      <w:r>
        <w:t>e) Inverse model parameters</w:t>
      </w:r>
    </w:p>
    <w:p w14:paraId="729F71A7" w14:textId="77777777" w:rsidR="007561F6" w:rsidRDefault="007561F6" w:rsidP="007561F6">
      <w:r>
        <w:t>f) Inverse model output</w:t>
      </w:r>
    </w:p>
    <w:p w14:paraId="69D7FF6A" w14:textId="6A466605" w:rsidR="007561F6" w:rsidRDefault="007561F6" w:rsidP="007561F6">
      <w:r>
        <w:t>g) Reconstructed timelines</w:t>
      </w:r>
    </w:p>
    <w:p w14:paraId="29C4CAA6" w14:textId="04047F57" w:rsidR="000F6F46" w:rsidRPr="00C84F21" w:rsidRDefault="000F6F46" w:rsidP="007561F6">
      <w:r>
        <w:t xml:space="preserve">h) </w:t>
      </w:r>
      <w:r w:rsidR="001E73C5">
        <w:t>Lengths of seasonal cycles at Mpala</w:t>
      </w:r>
    </w:p>
    <w:p w14:paraId="1E6E6724" w14:textId="77777777" w:rsidR="007561F6" w:rsidRDefault="007561F6" w:rsidP="007561F6">
      <w:pPr>
        <w:spacing w:after="160" w:line="259" w:lineRule="auto"/>
        <w:rPr>
          <w:b/>
        </w:rPr>
      </w:pPr>
      <w:r>
        <w:rPr>
          <w:b/>
        </w:rPr>
        <w:br w:type="page"/>
      </w:r>
    </w:p>
    <w:p w14:paraId="0C779D8F" w14:textId="300955CF" w:rsidR="007561F6" w:rsidRDefault="007561F6" w:rsidP="007561F6">
      <w:pPr>
        <w:rPr>
          <w:rFonts w:cs="Times New Roman"/>
          <w:b/>
        </w:rPr>
      </w:pPr>
      <w:r w:rsidRPr="00D973D5">
        <w:rPr>
          <w:rFonts w:cs="Times New Roman"/>
          <w:b/>
        </w:rPr>
        <w:lastRenderedPageBreak/>
        <w:t>Supplementary Tables</w:t>
      </w:r>
    </w:p>
    <w:p w14:paraId="7EE5E293" w14:textId="77777777" w:rsidR="00C94160" w:rsidRDefault="00C94160" w:rsidP="00C94160">
      <w:r w:rsidRPr="00F56651">
        <w:t>Table S1</w:t>
      </w:r>
      <w:r>
        <w:t>.</w:t>
      </w:r>
      <w:r w:rsidRPr="00F56651">
        <w:t xml:space="preserve"> Test of normality using Shapiro-Wilk </w:t>
      </w:r>
      <w:r>
        <w:t>n</w:t>
      </w:r>
      <w:r w:rsidRPr="00F56651">
        <w:t>ormality test</w:t>
      </w:r>
      <w:r>
        <w:t>.</w:t>
      </w:r>
    </w:p>
    <w:tbl>
      <w:tblPr>
        <w:tblStyle w:val="TableGrid"/>
        <w:tblW w:w="0" w:type="auto"/>
        <w:tblLook w:val="04A0" w:firstRow="1" w:lastRow="0" w:firstColumn="1" w:lastColumn="0" w:noHBand="0" w:noVBand="1"/>
      </w:tblPr>
      <w:tblGrid>
        <w:gridCol w:w="1798"/>
        <w:gridCol w:w="1352"/>
        <w:gridCol w:w="1890"/>
        <w:gridCol w:w="1800"/>
        <w:gridCol w:w="1350"/>
        <w:gridCol w:w="1170"/>
      </w:tblGrid>
      <w:tr w:rsidR="007561F6" w:rsidRPr="00F56651" w14:paraId="0808A6AC" w14:textId="77777777" w:rsidTr="007561F6">
        <w:tc>
          <w:tcPr>
            <w:tcW w:w="1798" w:type="dxa"/>
            <w:tcBorders>
              <w:top w:val="single" w:sz="4" w:space="0" w:color="auto"/>
              <w:left w:val="nil"/>
              <w:bottom w:val="single" w:sz="4" w:space="0" w:color="auto"/>
              <w:right w:val="nil"/>
            </w:tcBorders>
          </w:tcPr>
          <w:p w14:paraId="63E42361" w14:textId="77777777" w:rsidR="007561F6" w:rsidRPr="00F56651" w:rsidRDefault="007561F6" w:rsidP="007561F6">
            <w:pPr>
              <w:spacing w:line="360" w:lineRule="auto"/>
            </w:pPr>
            <w:r w:rsidRPr="00F56651">
              <w:t>Profile</w:t>
            </w:r>
          </w:p>
        </w:tc>
        <w:tc>
          <w:tcPr>
            <w:tcW w:w="1352" w:type="dxa"/>
            <w:tcBorders>
              <w:top w:val="single" w:sz="4" w:space="0" w:color="auto"/>
              <w:left w:val="nil"/>
              <w:bottom w:val="single" w:sz="4" w:space="0" w:color="auto"/>
              <w:right w:val="nil"/>
            </w:tcBorders>
          </w:tcPr>
          <w:p w14:paraId="422E356D" w14:textId="77777777" w:rsidR="007561F6" w:rsidRPr="00F56651" w:rsidRDefault="007561F6" w:rsidP="007561F6">
            <w:pPr>
              <w:spacing w:line="360" w:lineRule="auto"/>
              <w:rPr>
                <w:i/>
              </w:rPr>
            </w:pPr>
            <w:r w:rsidRPr="00F56651">
              <w:rPr>
                <w:i/>
              </w:rPr>
              <w:t>W</w:t>
            </w:r>
          </w:p>
        </w:tc>
        <w:tc>
          <w:tcPr>
            <w:tcW w:w="1890" w:type="dxa"/>
            <w:tcBorders>
              <w:top w:val="single" w:sz="4" w:space="0" w:color="auto"/>
              <w:left w:val="nil"/>
              <w:bottom w:val="single" w:sz="4" w:space="0" w:color="auto"/>
              <w:right w:val="nil"/>
            </w:tcBorders>
          </w:tcPr>
          <w:p w14:paraId="01C473BD" w14:textId="77777777" w:rsidR="007561F6" w:rsidRPr="00F56651" w:rsidRDefault="007561F6" w:rsidP="007561F6">
            <w:pPr>
              <w:spacing w:line="360" w:lineRule="auto"/>
            </w:pPr>
            <w:r w:rsidRPr="00F56651">
              <w:rPr>
                <w:i/>
              </w:rPr>
              <w:t>p</w:t>
            </w:r>
            <w:r w:rsidRPr="00F56651">
              <w:t>-value</w:t>
            </w:r>
          </w:p>
        </w:tc>
        <w:tc>
          <w:tcPr>
            <w:tcW w:w="1800" w:type="dxa"/>
            <w:tcBorders>
              <w:top w:val="single" w:sz="4" w:space="0" w:color="auto"/>
              <w:left w:val="nil"/>
              <w:bottom w:val="single" w:sz="4" w:space="0" w:color="auto"/>
              <w:right w:val="nil"/>
            </w:tcBorders>
          </w:tcPr>
          <w:p w14:paraId="6898C4AB" w14:textId="77777777" w:rsidR="007561F6" w:rsidRPr="00F56651" w:rsidRDefault="007561F6" w:rsidP="007561F6">
            <w:pPr>
              <w:spacing w:line="360" w:lineRule="auto"/>
            </w:pPr>
            <w:r w:rsidRPr="00F56651">
              <w:t>Profile</w:t>
            </w:r>
          </w:p>
        </w:tc>
        <w:tc>
          <w:tcPr>
            <w:tcW w:w="1350" w:type="dxa"/>
            <w:tcBorders>
              <w:top w:val="single" w:sz="4" w:space="0" w:color="auto"/>
              <w:left w:val="nil"/>
              <w:bottom w:val="single" w:sz="4" w:space="0" w:color="auto"/>
              <w:right w:val="nil"/>
            </w:tcBorders>
          </w:tcPr>
          <w:p w14:paraId="47BDB801" w14:textId="77777777" w:rsidR="007561F6" w:rsidRPr="00F56651" w:rsidRDefault="007561F6" w:rsidP="007561F6">
            <w:pPr>
              <w:spacing w:line="360" w:lineRule="auto"/>
              <w:rPr>
                <w:i/>
              </w:rPr>
            </w:pPr>
            <w:r w:rsidRPr="00F56651">
              <w:rPr>
                <w:i/>
              </w:rPr>
              <w:t>W</w:t>
            </w:r>
          </w:p>
        </w:tc>
        <w:tc>
          <w:tcPr>
            <w:tcW w:w="1170" w:type="dxa"/>
            <w:tcBorders>
              <w:top w:val="single" w:sz="4" w:space="0" w:color="auto"/>
              <w:left w:val="nil"/>
              <w:bottom w:val="single" w:sz="4" w:space="0" w:color="auto"/>
              <w:right w:val="nil"/>
            </w:tcBorders>
          </w:tcPr>
          <w:p w14:paraId="5448CDB6" w14:textId="77777777" w:rsidR="007561F6" w:rsidRPr="00F56651" w:rsidRDefault="007561F6" w:rsidP="007561F6">
            <w:pPr>
              <w:spacing w:line="360" w:lineRule="auto"/>
            </w:pPr>
            <w:r w:rsidRPr="00F56651">
              <w:rPr>
                <w:i/>
              </w:rPr>
              <w:t>p</w:t>
            </w:r>
            <w:r w:rsidRPr="00F56651">
              <w:t>-value</w:t>
            </w:r>
          </w:p>
        </w:tc>
      </w:tr>
      <w:tr w:rsidR="007561F6" w:rsidRPr="00F56651" w14:paraId="098FD14E" w14:textId="77777777" w:rsidTr="007561F6">
        <w:tc>
          <w:tcPr>
            <w:tcW w:w="1798" w:type="dxa"/>
            <w:tcBorders>
              <w:top w:val="single" w:sz="4" w:space="0" w:color="auto"/>
              <w:left w:val="nil"/>
              <w:bottom w:val="nil"/>
              <w:right w:val="nil"/>
            </w:tcBorders>
          </w:tcPr>
          <w:p w14:paraId="4EEEC902" w14:textId="77777777" w:rsidR="007561F6" w:rsidRPr="00F56651" w:rsidRDefault="007561F6" w:rsidP="007561F6">
            <w:pPr>
              <w:spacing w:line="360" w:lineRule="auto"/>
            </w:pPr>
            <w:r w:rsidRPr="00F56651">
              <w:t xml:space="preserve">MPL1C </w:t>
            </w:r>
            <w:r w:rsidRPr="004826A7">
              <w:rPr>
                <w:rFonts w:cs="Times New Roman"/>
                <w:szCs w:val="24"/>
              </w:rPr>
              <w:t>δ</w:t>
            </w:r>
            <w:r w:rsidRPr="004826A7">
              <w:rPr>
                <w:rFonts w:cs="Times New Roman"/>
                <w:szCs w:val="24"/>
                <w:vertAlign w:val="superscript"/>
              </w:rPr>
              <w:t>13</w:t>
            </w:r>
            <w:r w:rsidRPr="004826A7">
              <w:rPr>
                <w:rFonts w:cs="Times New Roman"/>
              </w:rPr>
              <w:t>C</w:t>
            </w:r>
          </w:p>
        </w:tc>
        <w:tc>
          <w:tcPr>
            <w:tcW w:w="1352" w:type="dxa"/>
            <w:tcBorders>
              <w:top w:val="single" w:sz="4" w:space="0" w:color="auto"/>
              <w:left w:val="nil"/>
              <w:bottom w:val="nil"/>
              <w:right w:val="nil"/>
            </w:tcBorders>
          </w:tcPr>
          <w:p w14:paraId="39A2383B" w14:textId="77777777" w:rsidR="007561F6" w:rsidRPr="00F56651" w:rsidRDefault="007561F6" w:rsidP="007561F6">
            <w:pPr>
              <w:spacing w:line="360" w:lineRule="auto"/>
            </w:pPr>
            <w:r w:rsidRPr="00F56651">
              <w:t>0.9</w:t>
            </w:r>
            <w:r>
              <w:t>80</w:t>
            </w:r>
          </w:p>
        </w:tc>
        <w:tc>
          <w:tcPr>
            <w:tcW w:w="1890" w:type="dxa"/>
            <w:tcBorders>
              <w:top w:val="single" w:sz="4" w:space="0" w:color="auto"/>
              <w:left w:val="nil"/>
              <w:bottom w:val="nil"/>
              <w:right w:val="nil"/>
            </w:tcBorders>
          </w:tcPr>
          <w:p w14:paraId="1F53F57E" w14:textId="77777777" w:rsidR="007561F6" w:rsidRPr="00F56651" w:rsidRDefault="007561F6" w:rsidP="007561F6">
            <w:pPr>
              <w:spacing w:line="360" w:lineRule="auto"/>
            </w:pPr>
            <w:r w:rsidRPr="00F56651">
              <w:t>0.93</w:t>
            </w:r>
            <w:r>
              <w:t>8</w:t>
            </w:r>
          </w:p>
        </w:tc>
        <w:tc>
          <w:tcPr>
            <w:tcW w:w="1800" w:type="dxa"/>
            <w:tcBorders>
              <w:top w:val="single" w:sz="4" w:space="0" w:color="auto"/>
              <w:left w:val="nil"/>
              <w:bottom w:val="nil"/>
              <w:right w:val="nil"/>
            </w:tcBorders>
          </w:tcPr>
          <w:p w14:paraId="72FDB63E" w14:textId="77777777" w:rsidR="007561F6" w:rsidRPr="00F56651" w:rsidRDefault="007561F6" w:rsidP="007561F6">
            <w:pPr>
              <w:spacing w:line="360" w:lineRule="auto"/>
            </w:pPr>
            <w:r w:rsidRPr="00F56651">
              <w:t xml:space="preserve">MPL2C </w:t>
            </w:r>
            <w:r w:rsidRPr="004826A7">
              <w:rPr>
                <w:rFonts w:cs="Times New Roman"/>
                <w:szCs w:val="24"/>
              </w:rPr>
              <w:t>δ</w:t>
            </w:r>
            <w:r w:rsidRPr="004826A7">
              <w:rPr>
                <w:rFonts w:cs="Times New Roman"/>
                <w:szCs w:val="24"/>
                <w:vertAlign w:val="superscript"/>
              </w:rPr>
              <w:t>13</w:t>
            </w:r>
            <w:r w:rsidRPr="004826A7">
              <w:rPr>
                <w:rFonts w:cs="Times New Roman"/>
              </w:rPr>
              <w:t>C</w:t>
            </w:r>
          </w:p>
        </w:tc>
        <w:tc>
          <w:tcPr>
            <w:tcW w:w="1350" w:type="dxa"/>
            <w:tcBorders>
              <w:top w:val="single" w:sz="4" w:space="0" w:color="auto"/>
              <w:left w:val="nil"/>
              <w:bottom w:val="nil"/>
              <w:right w:val="nil"/>
            </w:tcBorders>
          </w:tcPr>
          <w:p w14:paraId="0A454FB4" w14:textId="77777777" w:rsidR="007561F6" w:rsidRPr="00F56651" w:rsidRDefault="007561F6" w:rsidP="007561F6">
            <w:pPr>
              <w:spacing w:line="360" w:lineRule="auto"/>
            </w:pPr>
            <w:r w:rsidRPr="00F56651">
              <w:t>0.926</w:t>
            </w:r>
          </w:p>
        </w:tc>
        <w:tc>
          <w:tcPr>
            <w:tcW w:w="1170" w:type="dxa"/>
            <w:tcBorders>
              <w:top w:val="single" w:sz="4" w:space="0" w:color="auto"/>
              <w:left w:val="nil"/>
              <w:bottom w:val="nil"/>
              <w:right w:val="nil"/>
            </w:tcBorders>
          </w:tcPr>
          <w:p w14:paraId="200F6484" w14:textId="77777777" w:rsidR="007561F6" w:rsidRPr="000C3DB2" w:rsidRDefault="007561F6" w:rsidP="007561F6">
            <w:pPr>
              <w:spacing w:line="360" w:lineRule="auto"/>
            </w:pPr>
            <w:r w:rsidRPr="000C3DB2">
              <w:t>0.07</w:t>
            </w:r>
            <w:r>
              <w:t>2</w:t>
            </w:r>
          </w:p>
        </w:tc>
      </w:tr>
      <w:tr w:rsidR="007561F6" w:rsidRPr="00F56651" w14:paraId="3A88B53F" w14:textId="77777777" w:rsidTr="007561F6">
        <w:tc>
          <w:tcPr>
            <w:tcW w:w="1798" w:type="dxa"/>
            <w:tcBorders>
              <w:top w:val="nil"/>
              <w:left w:val="nil"/>
              <w:bottom w:val="nil"/>
              <w:right w:val="nil"/>
            </w:tcBorders>
          </w:tcPr>
          <w:p w14:paraId="6D5D5D66" w14:textId="77777777" w:rsidR="007561F6" w:rsidRPr="00F56651" w:rsidRDefault="007561F6" w:rsidP="007561F6">
            <w:pPr>
              <w:spacing w:line="360" w:lineRule="auto"/>
            </w:pPr>
            <w:r w:rsidRPr="00F56651">
              <w:t xml:space="preserve">MPL1C </w:t>
            </w:r>
            <w:r w:rsidRPr="004826A7">
              <w:rPr>
                <w:rFonts w:cs="Times New Roman"/>
                <w:szCs w:val="24"/>
              </w:rPr>
              <w:t>δ</w:t>
            </w:r>
            <w:r w:rsidRPr="004826A7">
              <w:rPr>
                <w:rFonts w:cs="Times New Roman"/>
                <w:szCs w:val="24"/>
                <w:vertAlign w:val="superscript"/>
              </w:rPr>
              <w:t>18</w:t>
            </w:r>
            <w:r w:rsidRPr="004826A7">
              <w:rPr>
                <w:rFonts w:cs="Times New Roman"/>
                <w:szCs w:val="24"/>
              </w:rPr>
              <w:t>O</w:t>
            </w:r>
          </w:p>
        </w:tc>
        <w:tc>
          <w:tcPr>
            <w:tcW w:w="1352" w:type="dxa"/>
            <w:tcBorders>
              <w:top w:val="nil"/>
              <w:left w:val="nil"/>
              <w:bottom w:val="nil"/>
              <w:right w:val="nil"/>
            </w:tcBorders>
          </w:tcPr>
          <w:p w14:paraId="31D4F782" w14:textId="77777777" w:rsidR="007561F6" w:rsidRPr="00F56651" w:rsidRDefault="007561F6" w:rsidP="007561F6">
            <w:pPr>
              <w:spacing w:line="360" w:lineRule="auto"/>
            </w:pPr>
            <w:r w:rsidRPr="00F56651">
              <w:t>0.94</w:t>
            </w:r>
            <w:r>
              <w:t>8</w:t>
            </w:r>
          </w:p>
        </w:tc>
        <w:tc>
          <w:tcPr>
            <w:tcW w:w="1890" w:type="dxa"/>
            <w:tcBorders>
              <w:top w:val="nil"/>
              <w:left w:val="nil"/>
              <w:bottom w:val="nil"/>
              <w:right w:val="nil"/>
            </w:tcBorders>
          </w:tcPr>
          <w:p w14:paraId="52280DF8" w14:textId="77777777" w:rsidR="007561F6" w:rsidRPr="00F56651" w:rsidRDefault="007561F6" w:rsidP="007561F6">
            <w:pPr>
              <w:spacing w:line="360" w:lineRule="auto"/>
            </w:pPr>
            <w:r w:rsidRPr="00F56651">
              <w:t>0.36</w:t>
            </w:r>
            <w:r>
              <w:t>5</w:t>
            </w:r>
          </w:p>
        </w:tc>
        <w:tc>
          <w:tcPr>
            <w:tcW w:w="1800" w:type="dxa"/>
            <w:tcBorders>
              <w:top w:val="nil"/>
              <w:left w:val="nil"/>
              <w:bottom w:val="nil"/>
              <w:right w:val="nil"/>
            </w:tcBorders>
          </w:tcPr>
          <w:p w14:paraId="65ACB177" w14:textId="77777777" w:rsidR="007561F6" w:rsidRPr="00F56651" w:rsidRDefault="007561F6" w:rsidP="007561F6">
            <w:pPr>
              <w:spacing w:line="360" w:lineRule="auto"/>
            </w:pPr>
            <w:r w:rsidRPr="00F56651">
              <w:t xml:space="preserve">MPL2C </w:t>
            </w:r>
            <w:r w:rsidRPr="004826A7">
              <w:rPr>
                <w:rFonts w:cs="Times New Roman"/>
                <w:szCs w:val="24"/>
              </w:rPr>
              <w:t>δ</w:t>
            </w:r>
            <w:r w:rsidRPr="004826A7">
              <w:rPr>
                <w:rFonts w:cs="Times New Roman"/>
                <w:szCs w:val="24"/>
                <w:vertAlign w:val="superscript"/>
              </w:rPr>
              <w:t>18</w:t>
            </w:r>
            <w:r w:rsidRPr="004826A7">
              <w:rPr>
                <w:rFonts w:cs="Times New Roman"/>
                <w:szCs w:val="24"/>
              </w:rPr>
              <w:t>O</w:t>
            </w:r>
          </w:p>
        </w:tc>
        <w:tc>
          <w:tcPr>
            <w:tcW w:w="1350" w:type="dxa"/>
            <w:tcBorders>
              <w:top w:val="nil"/>
              <w:left w:val="nil"/>
              <w:bottom w:val="nil"/>
              <w:right w:val="nil"/>
            </w:tcBorders>
          </w:tcPr>
          <w:p w14:paraId="2D212249" w14:textId="77777777" w:rsidR="007561F6" w:rsidRPr="00F56651" w:rsidRDefault="007561F6" w:rsidP="007561F6">
            <w:pPr>
              <w:spacing w:line="360" w:lineRule="auto"/>
            </w:pPr>
            <w:r w:rsidRPr="00F56651">
              <w:t>0.94</w:t>
            </w:r>
            <w:r>
              <w:t>3</w:t>
            </w:r>
          </w:p>
        </w:tc>
        <w:tc>
          <w:tcPr>
            <w:tcW w:w="1170" w:type="dxa"/>
            <w:tcBorders>
              <w:top w:val="nil"/>
              <w:left w:val="nil"/>
              <w:bottom w:val="nil"/>
              <w:right w:val="nil"/>
            </w:tcBorders>
          </w:tcPr>
          <w:p w14:paraId="6B2D0E41" w14:textId="77777777" w:rsidR="007561F6" w:rsidRPr="00F56651" w:rsidRDefault="007561F6" w:rsidP="007561F6">
            <w:pPr>
              <w:spacing w:line="360" w:lineRule="auto"/>
            </w:pPr>
            <w:r w:rsidRPr="00F56651">
              <w:t>0.169</w:t>
            </w:r>
          </w:p>
        </w:tc>
      </w:tr>
      <w:tr w:rsidR="007561F6" w:rsidRPr="00F56651" w14:paraId="1C203415" w14:textId="77777777" w:rsidTr="007561F6">
        <w:tc>
          <w:tcPr>
            <w:tcW w:w="1798" w:type="dxa"/>
            <w:tcBorders>
              <w:top w:val="nil"/>
              <w:left w:val="nil"/>
              <w:bottom w:val="nil"/>
              <w:right w:val="nil"/>
            </w:tcBorders>
          </w:tcPr>
          <w:p w14:paraId="299DFF70" w14:textId="77777777" w:rsidR="007561F6" w:rsidRPr="00F56651" w:rsidRDefault="007561F6" w:rsidP="007561F6">
            <w:pPr>
              <w:spacing w:line="360" w:lineRule="auto"/>
            </w:pPr>
            <w:r w:rsidRPr="00F56651">
              <w:t xml:space="preserve">MPL1M </w:t>
            </w:r>
            <w:r w:rsidRPr="004826A7">
              <w:rPr>
                <w:rFonts w:cs="Times New Roman"/>
                <w:szCs w:val="24"/>
              </w:rPr>
              <w:t>δ</w:t>
            </w:r>
            <w:r w:rsidRPr="004826A7">
              <w:rPr>
                <w:rFonts w:cs="Times New Roman"/>
                <w:szCs w:val="24"/>
                <w:vertAlign w:val="superscript"/>
              </w:rPr>
              <w:t>13</w:t>
            </w:r>
            <w:r w:rsidRPr="004826A7">
              <w:rPr>
                <w:rFonts w:cs="Times New Roman"/>
              </w:rPr>
              <w:t>C</w:t>
            </w:r>
          </w:p>
        </w:tc>
        <w:tc>
          <w:tcPr>
            <w:tcW w:w="1352" w:type="dxa"/>
            <w:tcBorders>
              <w:top w:val="nil"/>
              <w:left w:val="nil"/>
              <w:bottom w:val="nil"/>
              <w:right w:val="nil"/>
            </w:tcBorders>
          </w:tcPr>
          <w:p w14:paraId="2D5D4574" w14:textId="77777777" w:rsidR="007561F6" w:rsidRPr="00F56651" w:rsidRDefault="007561F6" w:rsidP="007561F6">
            <w:pPr>
              <w:spacing w:line="360" w:lineRule="auto"/>
            </w:pPr>
            <w:r w:rsidRPr="00F56651">
              <w:t>0.910</w:t>
            </w:r>
          </w:p>
        </w:tc>
        <w:tc>
          <w:tcPr>
            <w:tcW w:w="1890" w:type="dxa"/>
            <w:tcBorders>
              <w:top w:val="nil"/>
              <w:left w:val="nil"/>
              <w:bottom w:val="nil"/>
              <w:right w:val="nil"/>
            </w:tcBorders>
          </w:tcPr>
          <w:p w14:paraId="6E3E3DD7" w14:textId="77777777" w:rsidR="007561F6" w:rsidRPr="000C3DB2" w:rsidRDefault="007561F6" w:rsidP="007561F6">
            <w:pPr>
              <w:spacing w:line="360" w:lineRule="auto"/>
            </w:pPr>
            <w:r w:rsidRPr="000C3DB2">
              <w:t>0.074</w:t>
            </w:r>
          </w:p>
        </w:tc>
        <w:tc>
          <w:tcPr>
            <w:tcW w:w="1800" w:type="dxa"/>
            <w:tcBorders>
              <w:top w:val="nil"/>
              <w:left w:val="nil"/>
              <w:bottom w:val="nil"/>
              <w:right w:val="nil"/>
            </w:tcBorders>
          </w:tcPr>
          <w:p w14:paraId="64D764FA" w14:textId="77777777" w:rsidR="007561F6" w:rsidRPr="00F56651" w:rsidRDefault="007561F6" w:rsidP="007561F6">
            <w:pPr>
              <w:spacing w:line="360" w:lineRule="auto"/>
            </w:pPr>
            <w:r w:rsidRPr="00F56651">
              <w:t xml:space="preserve">MPL2M </w:t>
            </w:r>
            <w:r w:rsidRPr="004826A7">
              <w:rPr>
                <w:rFonts w:cs="Times New Roman"/>
                <w:szCs w:val="24"/>
              </w:rPr>
              <w:t>δ</w:t>
            </w:r>
            <w:r w:rsidRPr="004826A7">
              <w:rPr>
                <w:rFonts w:cs="Times New Roman"/>
                <w:szCs w:val="24"/>
                <w:vertAlign w:val="superscript"/>
              </w:rPr>
              <w:t>13</w:t>
            </w:r>
            <w:r w:rsidRPr="004826A7">
              <w:rPr>
                <w:rFonts w:cs="Times New Roman"/>
              </w:rPr>
              <w:t>C</w:t>
            </w:r>
          </w:p>
        </w:tc>
        <w:tc>
          <w:tcPr>
            <w:tcW w:w="1350" w:type="dxa"/>
            <w:tcBorders>
              <w:top w:val="nil"/>
              <w:left w:val="nil"/>
              <w:bottom w:val="nil"/>
              <w:right w:val="nil"/>
            </w:tcBorders>
          </w:tcPr>
          <w:p w14:paraId="3649BF09" w14:textId="77777777" w:rsidR="007561F6" w:rsidRPr="00F56651" w:rsidRDefault="007561F6" w:rsidP="007561F6">
            <w:pPr>
              <w:spacing w:line="360" w:lineRule="auto"/>
            </w:pPr>
            <w:r w:rsidRPr="00F56651">
              <w:t>0.92</w:t>
            </w:r>
            <w:r>
              <w:t>7</w:t>
            </w:r>
          </w:p>
        </w:tc>
        <w:tc>
          <w:tcPr>
            <w:tcW w:w="1170" w:type="dxa"/>
            <w:tcBorders>
              <w:top w:val="nil"/>
              <w:left w:val="nil"/>
              <w:bottom w:val="nil"/>
              <w:right w:val="nil"/>
            </w:tcBorders>
          </w:tcPr>
          <w:p w14:paraId="46328B8B" w14:textId="77777777" w:rsidR="007561F6" w:rsidRPr="00F56651" w:rsidRDefault="007561F6" w:rsidP="007561F6">
            <w:pPr>
              <w:spacing w:line="360" w:lineRule="auto"/>
            </w:pPr>
            <w:r w:rsidRPr="00F56651">
              <w:t>0.1</w:t>
            </w:r>
            <w:r>
              <w:t>50</w:t>
            </w:r>
          </w:p>
        </w:tc>
      </w:tr>
      <w:tr w:rsidR="007561F6" w:rsidRPr="00F56651" w14:paraId="71ACDAF1" w14:textId="77777777" w:rsidTr="007561F6">
        <w:tc>
          <w:tcPr>
            <w:tcW w:w="1798" w:type="dxa"/>
            <w:tcBorders>
              <w:top w:val="nil"/>
              <w:left w:val="nil"/>
              <w:bottom w:val="single" w:sz="4" w:space="0" w:color="auto"/>
              <w:right w:val="nil"/>
            </w:tcBorders>
          </w:tcPr>
          <w:p w14:paraId="1A7AC247" w14:textId="77777777" w:rsidR="007561F6" w:rsidRPr="00F56651" w:rsidRDefault="007561F6" w:rsidP="007561F6">
            <w:pPr>
              <w:spacing w:line="360" w:lineRule="auto"/>
            </w:pPr>
            <w:r w:rsidRPr="00F56651">
              <w:t xml:space="preserve">MPL1M </w:t>
            </w:r>
            <w:r w:rsidRPr="004826A7">
              <w:rPr>
                <w:rFonts w:cs="Times New Roman"/>
                <w:szCs w:val="24"/>
              </w:rPr>
              <w:t>δ</w:t>
            </w:r>
            <w:r w:rsidRPr="004826A7">
              <w:rPr>
                <w:rFonts w:cs="Times New Roman"/>
                <w:szCs w:val="24"/>
                <w:vertAlign w:val="superscript"/>
              </w:rPr>
              <w:t>18</w:t>
            </w:r>
            <w:r w:rsidRPr="004826A7">
              <w:rPr>
                <w:rFonts w:cs="Times New Roman"/>
                <w:szCs w:val="24"/>
              </w:rPr>
              <w:t>O</w:t>
            </w:r>
          </w:p>
        </w:tc>
        <w:tc>
          <w:tcPr>
            <w:tcW w:w="1352" w:type="dxa"/>
            <w:tcBorders>
              <w:top w:val="nil"/>
              <w:left w:val="nil"/>
              <w:bottom w:val="single" w:sz="4" w:space="0" w:color="auto"/>
              <w:right w:val="nil"/>
            </w:tcBorders>
          </w:tcPr>
          <w:p w14:paraId="727BDD8E" w14:textId="77777777" w:rsidR="007561F6" w:rsidRPr="00F56651" w:rsidRDefault="007561F6" w:rsidP="007561F6">
            <w:pPr>
              <w:spacing w:line="360" w:lineRule="auto"/>
            </w:pPr>
            <w:r w:rsidRPr="00F56651">
              <w:t>0.93</w:t>
            </w:r>
            <w:r>
              <w:t>9</w:t>
            </w:r>
          </w:p>
        </w:tc>
        <w:tc>
          <w:tcPr>
            <w:tcW w:w="1890" w:type="dxa"/>
            <w:tcBorders>
              <w:top w:val="nil"/>
              <w:left w:val="nil"/>
              <w:bottom w:val="single" w:sz="4" w:space="0" w:color="auto"/>
              <w:right w:val="nil"/>
            </w:tcBorders>
          </w:tcPr>
          <w:p w14:paraId="14EF8088" w14:textId="77777777" w:rsidR="007561F6" w:rsidRPr="00F56651" w:rsidRDefault="007561F6" w:rsidP="007561F6">
            <w:pPr>
              <w:spacing w:line="360" w:lineRule="auto"/>
            </w:pPr>
            <w:r w:rsidRPr="00F56651">
              <w:t>0.248</w:t>
            </w:r>
          </w:p>
        </w:tc>
        <w:tc>
          <w:tcPr>
            <w:tcW w:w="1800" w:type="dxa"/>
            <w:tcBorders>
              <w:top w:val="nil"/>
              <w:left w:val="nil"/>
              <w:bottom w:val="single" w:sz="4" w:space="0" w:color="auto"/>
              <w:right w:val="nil"/>
            </w:tcBorders>
          </w:tcPr>
          <w:p w14:paraId="4322A345" w14:textId="77777777" w:rsidR="007561F6" w:rsidRPr="00F56651" w:rsidRDefault="007561F6" w:rsidP="007561F6">
            <w:pPr>
              <w:spacing w:line="360" w:lineRule="auto"/>
            </w:pPr>
            <w:r w:rsidRPr="00F56651">
              <w:t xml:space="preserve">MPL2M </w:t>
            </w:r>
            <w:r w:rsidRPr="004826A7">
              <w:rPr>
                <w:rFonts w:cs="Times New Roman"/>
                <w:szCs w:val="24"/>
              </w:rPr>
              <w:t>δ</w:t>
            </w:r>
            <w:r w:rsidRPr="004826A7">
              <w:rPr>
                <w:rFonts w:cs="Times New Roman"/>
                <w:szCs w:val="24"/>
                <w:vertAlign w:val="superscript"/>
              </w:rPr>
              <w:t>18</w:t>
            </w:r>
            <w:r w:rsidRPr="004826A7">
              <w:rPr>
                <w:rFonts w:cs="Times New Roman"/>
                <w:szCs w:val="24"/>
              </w:rPr>
              <w:t>O</w:t>
            </w:r>
          </w:p>
        </w:tc>
        <w:tc>
          <w:tcPr>
            <w:tcW w:w="1350" w:type="dxa"/>
            <w:tcBorders>
              <w:top w:val="nil"/>
              <w:left w:val="nil"/>
              <w:bottom w:val="single" w:sz="4" w:space="0" w:color="auto"/>
              <w:right w:val="nil"/>
            </w:tcBorders>
          </w:tcPr>
          <w:p w14:paraId="22DE5AF2" w14:textId="77777777" w:rsidR="007561F6" w:rsidRPr="00F56651" w:rsidRDefault="007561F6" w:rsidP="007561F6">
            <w:pPr>
              <w:spacing w:line="360" w:lineRule="auto"/>
            </w:pPr>
            <w:r w:rsidRPr="00F56651">
              <w:t>0.97</w:t>
            </w:r>
            <w:r>
              <w:t>2</w:t>
            </w:r>
          </w:p>
        </w:tc>
        <w:tc>
          <w:tcPr>
            <w:tcW w:w="1170" w:type="dxa"/>
            <w:tcBorders>
              <w:top w:val="nil"/>
              <w:left w:val="nil"/>
              <w:bottom w:val="single" w:sz="4" w:space="0" w:color="auto"/>
              <w:right w:val="nil"/>
            </w:tcBorders>
          </w:tcPr>
          <w:p w14:paraId="4753B754" w14:textId="77777777" w:rsidR="007561F6" w:rsidRPr="00F56651" w:rsidRDefault="007561F6" w:rsidP="007561F6">
            <w:pPr>
              <w:spacing w:line="360" w:lineRule="auto"/>
            </w:pPr>
            <w:r w:rsidRPr="00F56651">
              <w:t>0.81</w:t>
            </w:r>
            <w:r>
              <w:t>5</w:t>
            </w:r>
          </w:p>
        </w:tc>
      </w:tr>
    </w:tbl>
    <w:p w14:paraId="3C81B9B3" w14:textId="77777777" w:rsidR="00211039" w:rsidRDefault="00211039" w:rsidP="00211039"/>
    <w:p w14:paraId="7C17F228" w14:textId="36DFA31F" w:rsidR="00211039" w:rsidRDefault="00211039" w:rsidP="00211039">
      <w:r w:rsidRPr="00F56651">
        <w:t>Table S2</w:t>
      </w:r>
      <w:r>
        <w:t>.</w:t>
      </w:r>
      <w:r w:rsidRPr="00F56651">
        <w:t xml:space="preserve"> Comparing canine and molar stable isotope values. For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t xml:space="preserve"> profiles, Mann-Whitney </w:t>
      </w:r>
      <w:r w:rsidRPr="00F56651">
        <w:rPr>
          <w:i/>
        </w:rPr>
        <w:t>U</w:t>
      </w:r>
      <w:r w:rsidRPr="00F56651">
        <w:t xml:space="preserve"> test is used because the Shapiro-Wilk normality test shows that some of the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t xml:space="preserve"> profiles are approaching </w:t>
      </w:r>
      <w:r>
        <w:t xml:space="preserve">statistical </w:t>
      </w:r>
      <w:r w:rsidRPr="00F56651">
        <w:t xml:space="preserve">significance </w:t>
      </w:r>
      <w:r>
        <w:t>in</w:t>
      </w:r>
      <w:r w:rsidRPr="00F56651">
        <w:t xml:space="preserve"> deviating from a normal distribution. For </w:t>
      </w:r>
      <w:r w:rsidRPr="004826A7">
        <w:rPr>
          <w:rFonts w:cs="Times New Roman"/>
          <w:szCs w:val="24"/>
        </w:rPr>
        <w:t>δ</w:t>
      </w:r>
      <w:r w:rsidRPr="004826A7">
        <w:rPr>
          <w:rFonts w:cs="Times New Roman"/>
          <w:szCs w:val="24"/>
          <w:vertAlign w:val="superscript"/>
        </w:rPr>
        <w:t>18</w:t>
      </w:r>
      <w:r w:rsidRPr="004826A7">
        <w:rPr>
          <w:rFonts w:cs="Times New Roman"/>
          <w:szCs w:val="24"/>
        </w:rPr>
        <w:t>O</w:t>
      </w:r>
      <w:r w:rsidRPr="00F56651">
        <w:t xml:space="preserve"> profiles, Shapiro-Wilk normality test </w:t>
      </w:r>
      <w:r>
        <w:t>yielded insignificant results</w:t>
      </w:r>
      <w:r w:rsidRPr="00F56651">
        <w:t xml:space="preserve">. Therefore, </w:t>
      </w:r>
      <w:r>
        <w:t>Welch</w:t>
      </w:r>
      <w:r w:rsidRPr="00F56651">
        <w:t xml:space="preserve">’s </w:t>
      </w:r>
      <w:r w:rsidRPr="002F64FB">
        <w:rPr>
          <w:i/>
          <w:iCs/>
        </w:rPr>
        <w:t>t</w:t>
      </w:r>
      <w:r w:rsidRPr="00F56651">
        <w:t>-test was used (see table S1 for more details).</w:t>
      </w:r>
      <w:r>
        <w:t xml:space="preserve"> Comparisons that reach statistical significance are bolded.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996"/>
        <w:gridCol w:w="2177"/>
        <w:gridCol w:w="1755"/>
      </w:tblGrid>
      <w:tr w:rsidR="007561F6" w:rsidRPr="00F56651" w14:paraId="4B1769AD" w14:textId="77777777" w:rsidTr="007561F6">
        <w:tc>
          <w:tcPr>
            <w:tcW w:w="3690" w:type="dxa"/>
            <w:tcBorders>
              <w:top w:val="single" w:sz="4" w:space="0" w:color="auto"/>
              <w:bottom w:val="single" w:sz="4" w:space="0" w:color="auto"/>
            </w:tcBorders>
          </w:tcPr>
          <w:p w14:paraId="14282FD8" w14:textId="77777777" w:rsidR="007561F6" w:rsidRPr="00F56651" w:rsidRDefault="007561F6" w:rsidP="007561F6">
            <w:pPr>
              <w:pStyle w:val="ListParagraph"/>
              <w:spacing w:line="360" w:lineRule="auto"/>
              <w:ind w:left="0"/>
              <w:rPr>
                <w:rFonts w:cs="Times New Roman"/>
              </w:rPr>
            </w:pPr>
            <w:r w:rsidRPr="00F56651">
              <w:rPr>
                <w:rFonts w:cs="Times New Roman"/>
              </w:rPr>
              <w:t>Profiles</w:t>
            </w:r>
          </w:p>
        </w:tc>
        <w:tc>
          <w:tcPr>
            <w:tcW w:w="3173" w:type="dxa"/>
            <w:gridSpan w:val="2"/>
            <w:tcBorders>
              <w:top w:val="single" w:sz="4" w:space="0" w:color="auto"/>
              <w:bottom w:val="single" w:sz="4" w:space="0" w:color="auto"/>
            </w:tcBorders>
          </w:tcPr>
          <w:p w14:paraId="64C03D12" w14:textId="77777777" w:rsidR="007561F6" w:rsidRPr="00F56651" w:rsidRDefault="007561F6" w:rsidP="007561F6">
            <w:pPr>
              <w:pStyle w:val="ListParagraph"/>
              <w:spacing w:line="360" w:lineRule="auto"/>
              <w:ind w:left="0"/>
              <w:rPr>
                <w:rFonts w:cs="Times New Roman"/>
                <w:i/>
              </w:rPr>
            </w:pPr>
            <w:r w:rsidRPr="00F56651">
              <w:rPr>
                <w:rFonts w:cs="Times New Roman"/>
                <w:i/>
              </w:rPr>
              <w:t>W</w:t>
            </w:r>
          </w:p>
        </w:tc>
        <w:tc>
          <w:tcPr>
            <w:tcW w:w="1755" w:type="dxa"/>
            <w:tcBorders>
              <w:top w:val="single" w:sz="4" w:space="0" w:color="auto"/>
              <w:bottom w:val="single" w:sz="4" w:space="0" w:color="auto"/>
            </w:tcBorders>
          </w:tcPr>
          <w:p w14:paraId="3DF3BFF2" w14:textId="77777777" w:rsidR="007561F6" w:rsidRPr="00F56651" w:rsidRDefault="007561F6" w:rsidP="007561F6">
            <w:pPr>
              <w:pStyle w:val="ListParagraph"/>
              <w:spacing w:line="360" w:lineRule="auto"/>
              <w:ind w:left="0"/>
              <w:rPr>
                <w:rFonts w:cs="Times New Roman"/>
              </w:rPr>
            </w:pPr>
            <w:r w:rsidRPr="00F56651">
              <w:rPr>
                <w:rFonts w:cs="Times New Roman"/>
                <w:i/>
              </w:rPr>
              <w:t>p</w:t>
            </w:r>
            <w:r w:rsidRPr="00F56651">
              <w:rPr>
                <w:rFonts w:cs="Times New Roman"/>
              </w:rPr>
              <w:t>-value</w:t>
            </w:r>
          </w:p>
        </w:tc>
      </w:tr>
      <w:tr w:rsidR="007561F6" w:rsidRPr="00F56651" w14:paraId="7A6EF59C" w14:textId="77777777" w:rsidTr="007561F6">
        <w:tc>
          <w:tcPr>
            <w:tcW w:w="3690" w:type="dxa"/>
            <w:tcBorders>
              <w:top w:val="single" w:sz="4" w:space="0" w:color="auto"/>
            </w:tcBorders>
          </w:tcPr>
          <w:p w14:paraId="5C3DE59E" w14:textId="77777777" w:rsidR="007561F6" w:rsidRPr="00F56651" w:rsidRDefault="007561F6" w:rsidP="007561F6">
            <w:pPr>
              <w:pStyle w:val="ListParagraph"/>
              <w:spacing w:line="360" w:lineRule="auto"/>
              <w:ind w:left="0"/>
              <w:rPr>
                <w:rFonts w:cs="Times New Roman"/>
              </w:rPr>
            </w:pPr>
            <w:r w:rsidRPr="00F56651">
              <w:rPr>
                <w:rFonts w:cs="Times New Roman"/>
              </w:rPr>
              <w:t xml:space="preserve">MPL1C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vs MPL1M </w:t>
            </w:r>
            <w:r w:rsidRPr="004826A7">
              <w:rPr>
                <w:rFonts w:cs="Times New Roman"/>
                <w:szCs w:val="24"/>
              </w:rPr>
              <w:t>δ</w:t>
            </w:r>
            <w:r w:rsidRPr="004826A7">
              <w:rPr>
                <w:rFonts w:cs="Times New Roman"/>
                <w:szCs w:val="24"/>
                <w:vertAlign w:val="superscript"/>
              </w:rPr>
              <w:t>13</w:t>
            </w:r>
            <w:r w:rsidRPr="004826A7">
              <w:rPr>
                <w:rFonts w:cs="Times New Roman"/>
              </w:rPr>
              <w:t>C</w:t>
            </w:r>
          </w:p>
        </w:tc>
        <w:tc>
          <w:tcPr>
            <w:tcW w:w="3173" w:type="dxa"/>
            <w:gridSpan w:val="2"/>
            <w:tcBorders>
              <w:top w:val="single" w:sz="4" w:space="0" w:color="auto"/>
            </w:tcBorders>
          </w:tcPr>
          <w:p w14:paraId="4D9EBB16" w14:textId="77777777" w:rsidR="007561F6" w:rsidRPr="00F56651" w:rsidRDefault="007561F6" w:rsidP="007561F6">
            <w:pPr>
              <w:pStyle w:val="ListParagraph"/>
              <w:spacing w:line="360" w:lineRule="auto"/>
              <w:ind w:left="0"/>
              <w:rPr>
                <w:rFonts w:cs="Times New Roman"/>
              </w:rPr>
            </w:pPr>
            <w:r w:rsidRPr="00F56651">
              <w:rPr>
                <w:rFonts w:cs="Times New Roman"/>
              </w:rPr>
              <w:t>361</w:t>
            </w:r>
          </w:p>
        </w:tc>
        <w:tc>
          <w:tcPr>
            <w:tcW w:w="1755" w:type="dxa"/>
            <w:tcBorders>
              <w:top w:val="single" w:sz="4" w:space="0" w:color="auto"/>
            </w:tcBorders>
          </w:tcPr>
          <w:p w14:paraId="5D7C08EB" w14:textId="439057E0" w:rsidR="007561F6" w:rsidRPr="00F56651" w:rsidRDefault="007561F6" w:rsidP="007561F6">
            <w:pPr>
              <w:pStyle w:val="ListParagraph"/>
              <w:spacing w:line="360" w:lineRule="auto"/>
              <w:ind w:left="0"/>
              <w:rPr>
                <w:rFonts w:cs="Times New Roman"/>
                <w:b/>
              </w:rPr>
            </w:pPr>
            <w:r w:rsidRPr="00F56651">
              <w:rPr>
                <w:rFonts w:cs="Times New Roman"/>
                <w:b/>
              </w:rPr>
              <w:t>&lt;0.0001</w:t>
            </w:r>
          </w:p>
        </w:tc>
      </w:tr>
      <w:tr w:rsidR="007561F6" w:rsidRPr="00F56651" w14:paraId="2B56EFDB" w14:textId="77777777" w:rsidTr="007561F6">
        <w:tc>
          <w:tcPr>
            <w:tcW w:w="3690" w:type="dxa"/>
          </w:tcPr>
          <w:p w14:paraId="0DD16480" w14:textId="77777777" w:rsidR="007561F6" w:rsidRPr="00F56651" w:rsidRDefault="007561F6" w:rsidP="007561F6">
            <w:pPr>
              <w:pStyle w:val="ListParagraph"/>
              <w:spacing w:line="360" w:lineRule="auto"/>
              <w:ind w:left="0"/>
              <w:rPr>
                <w:rFonts w:cs="Times New Roman"/>
              </w:rPr>
            </w:pPr>
            <w:r w:rsidRPr="00F56651">
              <w:rPr>
                <w:rFonts w:cs="Times New Roman"/>
              </w:rPr>
              <w:t xml:space="preserve">MPL2C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vs MPL2M </w:t>
            </w:r>
            <w:r w:rsidRPr="004826A7">
              <w:rPr>
                <w:rFonts w:cs="Times New Roman"/>
                <w:szCs w:val="24"/>
              </w:rPr>
              <w:t>δ</w:t>
            </w:r>
            <w:r w:rsidRPr="004826A7">
              <w:rPr>
                <w:rFonts w:cs="Times New Roman"/>
                <w:szCs w:val="24"/>
                <w:vertAlign w:val="superscript"/>
              </w:rPr>
              <w:t>13</w:t>
            </w:r>
            <w:r w:rsidRPr="004826A7">
              <w:rPr>
                <w:rFonts w:cs="Times New Roman"/>
              </w:rPr>
              <w:t>C</w:t>
            </w:r>
          </w:p>
        </w:tc>
        <w:tc>
          <w:tcPr>
            <w:tcW w:w="3173" w:type="dxa"/>
            <w:gridSpan w:val="2"/>
          </w:tcPr>
          <w:p w14:paraId="35093BAC" w14:textId="77777777" w:rsidR="007561F6" w:rsidRPr="00F56651" w:rsidRDefault="007561F6" w:rsidP="007561F6">
            <w:pPr>
              <w:pStyle w:val="ListParagraph"/>
              <w:spacing w:line="360" w:lineRule="auto"/>
              <w:ind w:left="0"/>
              <w:rPr>
                <w:rFonts w:cs="Times New Roman"/>
              </w:rPr>
            </w:pPr>
            <w:r w:rsidRPr="00F56651">
              <w:rPr>
                <w:rFonts w:cs="Times New Roman"/>
              </w:rPr>
              <w:t>475</w:t>
            </w:r>
          </w:p>
        </w:tc>
        <w:tc>
          <w:tcPr>
            <w:tcW w:w="1755" w:type="dxa"/>
          </w:tcPr>
          <w:p w14:paraId="3E42FFAA" w14:textId="13880E76" w:rsidR="007561F6" w:rsidRPr="00F56651" w:rsidRDefault="007561F6" w:rsidP="007561F6">
            <w:pPr>
              <w:pStyle w:val="ListParagraph"/>
              <w:spacing w:line="360" w:lineRule="auto"/>
              <w:ind w:left="0"/>
              <w:rPr>
                <w:rFonts w:cs="Times New Roman"/>
                <w:b/>
              </w:rPr>
            </w:pPr>
            <w:r w:rsidRPr="00F56651">
              <w:rPr>
                <w:rFonts w:cs="Times New Roman"/>
                <w:b/>
              </w:rPr>
              <w:t>&lt;0.0001</w:t>
            </w:r>
          </w:p>
        </w:tc>
      </w:tr>
      <w:tr w:rsidR="007561F6" w:rsidRPr="00F56651" w14:paraId="229F7967" w14:textId="77777777" w:rsidTr="007561F6">
        <w:tc>
          <w:tcPr>
            <w:tcW w:w="3690" w:type="dxa"/>
          </w:tcPr>
          <w:p w14:paraId="413C68E5" w14:textId="77777777" w:rsidR="007561F6" w:rsidRPr="00F56651" w:rsidRDefault="007561F6" w:rsidP="007561F6">
            <w:pPr>
              <w:pStyle w:val="ListParagraph"/>
              <w:spacing w:line="360" w:lineRule="auto"/>
              <w:ind w:left="0"/>
              <w:rPr>
                <w:rFonts w:cs="Times New Roman"/>
              </w:rPr>
            </w:pPr>
          </w:p>
        </w:tc>
        <w:tc>
          <w:tcPr>
            <w:tcW w:w="3173" w:type="dxa"/>
            <w:gridSpan w:val="2"/>
          </w:tcPr>
          <w:p w14:paraId="4590E5D8" w14:textId="77777777" w:rsidR="007561F6" w:rsidRPr="00F56651" w:rsidRDefault="007561F6" w:rsidP="007561F6">
            <w:pPr>
              <w:pStyle w:val="ListParagraph"/>
              <w:spacing w:line="360" w:lineRule="auto"/>
              <w:ind w:left="0"/>
              <w:rPr>
                <w:rFonts w:cs="Times New Roman"/>
              </w:rPr>
            </w:pPr>
          </w:p>
        </w:tc>
        <w:tc>
          <w:tcPr>
            <w:tcW w:w="1755" w:type="dxa"/>
          </w:tcPr>
          <w:p w14:paraId="62CE6256" w14:textId="77777777" w:rsidR="007561F6" w:rsidRPr="00F56651" w:rsidRDefault="007561F6" w:rsidP="007561F6">
            <w:pPr>
              <w:pStyle w:val="ListParagraph"/>
              <w:spacing w:line="360" w:lineRule="auto"/>
              <w:ind w:left="0"/>
              <w:rPr>
                <w:rFonts w:cs="Times New Roman"/>
                <w:b/>
              </w:rPr>
            </w:pPr>
          </w:p>
        </w:tc>
      </w:tr>
      <w:tr w:rsidR="007561F6" w:rsidRPr="00F56651" w14:paraId="7B0CB298" w14:textId="77777777" w:rsidTr="007561F6">
        <w:tc>
          <w:tcPr>
            <w:tcW w:w="3690" w:type="dxa"/>
            <w:vAlign w:val="bottom"/>
          </w:tcPr>
          <w:p w14:paraId="5B011711" w14:textId="77777777" w:rsidR="007561F6" w:rsidRPr="00F56651" w:rsidRDefault="007561F6" w:rsidP="007561F6">
            <w:pPr>
              <w:pStyle w:val="ListParagraph"/>
              <w:spacing w:before="240" w:line="360" w:lineRule="auto"/>
              <w:ind w:left="0"/>
              <w:rPr>
                <w:rFonts w:cs="Times New Roman"/>
              </w:rPr>
            </w:pPr>
            <w:r w:rsidRPr="00F56651">
              <w:rPr>
                <w:rFonts w:cs="Times New Roman"/>
              </w:rPr>
              <w:t>Profiles</w:t>
            </w:r>
          </w:p>
        </w:tc>
        <w:tc>
          <w:tcPr>
            <w:tcW w:w="996" w:type="dxa"/>
            <w:vAlign w:val="bottom"/>
          </w:tcPr>
          <w:p w14:paraId="53DEDF49" w14:textId="77777777" w:rsidR="007561F6" w:rsidRPr="00F56651" w:rsidRDefault="007561F6" w:rsidP="007561F6">
            <w:pPr>
              <w:pStyle w:val="ListParagraph"/>
              <w:spacing w:before="240" w:line="360" w:lineRule="auto"/>
              <w:ind w:left="0"/>
              <w:rPr>
                <w:rFonts w:cs="Times New Roman"/>
                <w:i/>
              </w:rPr>
            </w:pPr>
            <w:r w:rsidRPr="00F56651">
              <w:rPr>
                <w:rFonts w:cs="Times New Roman"/>
                <w:i/>
              </w:rPr>
              <w:t>t</w:t>
            </w:r>
          </w:p>
        </w:tc>
        <w:tc>
          <w:tcPr>
            <w:tcW w:w="2177" w:type="dxa"/>
            <w:vAlign w:val="bottom"/>
          </w:tcPr>
          <w:p w14:paraId="2828D3E1" w14:textId="0EC9E8B3" w:rsidR="007561F6" w:rsidRPr="00F56651" w:rsidRDefault="00382505" w:rsidP="007561F6">
            <w:pPr>
              <w:pStyle w:val="ListParagraph"/>
              <w:spacing w:before="240" w:line="360" w:lineRule="auto"/>
              <w:ind w:left="0"/>
              <w:rPr>
                <w:rFonts w:cs="Times New Roman"/>
                <w:i/>
              </w:rPr>
            </w:pPr>
            <w:r w:rsidRPr="00F56651">
              <w:rPr>
                <w:rFonts w:cs="Times New Roman"/>
                <w:i/>
              </w:rPr>
              <w:t>D</w:t>
            </w:r>
            <w:r w:rsidR="007561F6" w:rsidRPr="00F56651">
              <w:rPr>
                <w:rFonts w:cs="Times New Roman"/>
                <w:i/>
              </w:rPr>
              <w:t>f</w:t>
            </w:r>
          </w:p>
        </w:tc>
        <w:tc>
          <w:tcPr>
            <w:tcW w:w="1755" w:type="dxa"/>
            <w:vAlign w:val="bottom"/>
          </w:tcPr>
          <w:p w14:paraId="415528D8" w14:textId="77777777" w:rsidR="007561F6" w:rsidRPr="00F56651" w:rsidRDefault="007561F6" w:rsidP="007561F6">
            <w:pPr>
              <w:pStyle w:val="ListParagraph"/>
              <w:spacing w:before="240" w:line="360" w:lineRule="auto"/>
              <w:ind w:left="0"/>
              <w:rPr>
                <w:rFonts w:cs="Times New Roman"/>
                <w:i/>
              </w:rPr>
            </w:pPr>
            <w:r w:rsidRPr="00F56651">
              <w:rPr>
                <w:rFonts w:cs="Times New Roman"/>
                <w:i/>
              </w:rPr>
              <w:t>p</w:t>
            </w:r>
            <w:r w:rsidRPr="00F56651">
              <w:rPr>
                <w:rFonts w:cs="Times New Roman"/>
              </w:rPr>
              <w:t>-value</w:t>
            </w:r>
          </w:p>
        </w:tc>
      </w:tr>
      <w:tr w:rsidR="007561F6" w:rsidRPr="00F56651" w14:paraId="2C487E78" w14:textId="77777777" w:rsidTr="007561F6">
        <w:tc>
          <w:tcPr>
            <w:tcW w:w="3690" w:type="dxa"/>
          </w:tcPr>
          <w:p w14:paraId="312C600A" w14:textId="77777777" w:rsidR="007561F6" w:rsidRPr="00F56651" w:rsidRDefault="007561F6" w:rsidP="007561F6">
            <w:pPr>
              <w:pStyle w:val="ListParagraph"/>
              <w:spacing w:line="360" w:lineRule="auto"/>
              <w:ind w:left="0"/>
              <w:rPr>
                <w:rFonts w:cs="Times New Roman"/>
              </w:rPr>
            </w:pPr>
            <w:r w:rsidRPr="00F56651">
              <w:rPr>
                <w:rFonts w:cs="Times New Roman"/>
              </w:rPr>
              <w:t xml:space="preserve">MPL1C </w:t>
            </w:r>
            <w:r w:rsidRPr="004826A7">
              <w:rPr>
                <w:rFonts w:cs="Times New Roman"/>
                <w:szCs w:val="24"/>
              </w:rPr>
              <w:t>δ</w:t>
            </w:r>
            <w:r w:rsidRPr="004826A7">
              <w:rPr>
                <w:rFonts w:cs="Times New Roman"/>
                <w:szCs w:val="24"/>
                <w:vertAlign w:val="superscript"/>
              </w:rPr>
              <w:t>18</w:t>
            </w:r>
            <w:r w:rsidRPr="004826A7">
              <w:rPr>
                <w:rFonts w:cs="Times New Roman"/>
                <w:szCs w:val="24"/>
              </w:rPr>
              <w:t>O</w:t>
            </w:r>
            <w:r w:rsidRPr="00F56651">
              <w:rPr>
                <w:rFonts w:cs="Times New Roman"/>
              </w:rPr>
              <w:t xml:space="preserve"> vs MPL1M </w:t>
            </w:r>
            <w:r w:rsidRPr="004826A7">
              <w:rPr>
                <w:rFonts w:cs="Times New Roman"/>
                <w:szCs w:val="24"/>
              </w:rPr>
              <w:t>δ</w:t>
            </w:r>
            <w:r w:rsidRPr="004826A7">
              <w:rPr>
                <w:rFonts w:cs="Times New Roman"/>
                <w:szCs w:val="24"/>
                <w:vertAlign w:val="superscript"/>
              </w:rPr>
              <w:t>18</w:t>
            </w:r>
            <w:r w:rsidRPr="004826A7">
              <w:rPr>
                <w:rFonts w:cs="Times New Roman"/>
                <w:szCs w:val="24"/>
              </w:rPr>
              <w:t>O</w:t>
            </w:r>
          </w:p>
        </w:tc>
        <w:tc>
          <w:tcPr>
            <w:tcW w:w="996" w:type="dxa"/>
          </w:tcPr>
          <w:p w14:paraId="0E6D2BFD" w14:textId="77777777" w:rsidR="007561F6" w:rsidRPr="00F56651" w:rsidRDefault="007561F6" w:rsidP="007561F6">
            <w:pPr>
              <w:pStyle w:val="ListParagraph"/>
              <w:spacing w:line="360" w:lineRule="auto"/>
              <w:ind w:left="0"/>
              <w:rPr>
                <w:rFonts w:cs="Times New Roman"/>
              </w:rPr>
            </w:pPr>
            <w:r w:rsidRPr="00F56651">
              <w:rPr>
                <w:rFonts w:cs="Times New Roman"/>
              </w:rPr>
              <w:t>3.41</w:t>
            </w:r>
            <w:r>
              <w:rPr>
                <w:rFonts w:cs="Times New Roman"/>
              </w:rPr>
              <w:t>8</w:t>
            </w:r>
          </w:p>
        </w:tc>
        <w:tc>
          <w:tcPr>
            <w:tcW w:w="2177" w:type="dxa"/>
          </w:tcPr>
          <w:p w14:paraId="0D3D3FE9" w14:textId="77777777" w:rsidR="007561F6" w:rsidRPr="00F56651" w:rsidRDefault="007561F6" w:rsidP="007561F6">
            <w:pPr>
              <w:pStyle w:val="ListParagraph"/>
              <w:spacing w:line="360" w:lineRule="auto"/>
              <w:ind w:left="0"/>
              <w:rPr>
                <w:rFonts w:cs="Times New Roman"/>
              </w:rPr>
            </w:pPr>
            <w:r w:rsidRPr="00F56651">
              <w:rPr>
                <w:rFonts w:cs="Times New Roman"/>
              </w:rPr>
              <w:t>35.689</w:t>
            </w:r>
          </w:p>
        </w:tc>
        <w:tc>
          <w:tcPr>
            <w:tcW w:w="1755" w:type="dxa"/>
          </w:tcPr>
          <w:p w14:paraId="01C98D90" w14:textId="659F6F6D" w:rsidR="007561F6" w:rsidRPr="00F56651" w:rsidRDefault="007561F6" w:rsidP="007561F6">
            <w:pPr>
              <w:pStyle w:val="ListParagraph"/>
              <w:spacing w:line="360" w:lineRule="auto"/>
              <w:ind w:left="0"/>
              <w:rPr>
                <w:rFonts w:cs="Times New Roman"/>
                <w:b/>
              </w:rPr>
            </w:pPr>
            <w:r w:rsidRPr="00F56651">
              <w:rPr>
                <w:rFonts w:cs="Times New Roman"/>
                <w:b/>
              </w:rPr>
              <w:t>&lt;0.01</w:t>
            </w:r>
          </w:p>
        </w:tc>
      </w:tr>
      <w:tr w:rsidR="007561F6" w:rsidRPr="00F56651" w14:paraId="0CC4060E" w14:textId="77777777" w:rsidTr="007561F6">
        <w:tc>
          <w:tcPr>
            <w:tcW w:w="3690" w:type="dxa"/>
            <w:tcBorders>
              <w:bottom w:val="single" w:sz="4" w:space="0" w:color="auto"/>
            </w:tcBorders>
          </w:tcPr>
          <w:p w14:paraId="74287B10" w14:textId="77777777" w:rsidR="007561F6" w:rsidRPr="00F56651" w:rsidRDefault="007561F6" w:rsidP="007561F6">
            <w:pPr>
              <w:pStyle w:val="ListParagraph"/>
              <w:spacing w:line="360" w:lineRule="auto"/>
              <w:ind w:left="0"/>
              <w:rPr>
                <w:rFonts w:cs="Times New Roman"/>
              </w:rPr>
            </w:pPr>
            <w:r w:rsidRPr="00F56651">
              <w:rPr>
                <w:rFonts w:cs="Times New Roman"/>
              </w:rPr>
              <w:t xml:space="preserve">MPL2C </w:t>
            </w:r>
            <w:r w:rsidRPr="004826A7">
              <w:rPr>
                <w:rFonts w:cs="Times New Roman"/>
                <w:szCs w:val="24"/>
              </w:rPr>
              <w:t>δ</w:t>
            </w:r>
            <w:r w:rsidRPr="004826A7">
              <w:rPr>
                <w:rFonts w:cs="Times New Roman"/>
                <w:szCs w:val="24"/>
                <w:vertAlign w:val="superscript"/>
              </w:rPr>
              <w:t>18</w:t>
            </w:r>
            <w:r w:rsidRPr="004826A7">
              <w:rPr>
                <w:rFonts w:cs="Times New Roman"/>
                <w:szCs w:val="24"/>
              </w:rPr>
              <w:t>O</w:t>
            </w:r>
            <w:r w:rsidRPr="00F56651">
              <w:rPr>
                <w:rFonts w:cs="Times New Roman"/>
              </w:rPr>
              <w:t xml:space="preserve"> vs MPL2M </w:t>
            </w:r>
            <w:r w:rsidRPr="004826A7">
              <w:rPr>
                <w:rFonts w:cs="Times New Roman"/>
                <w:szCs w:val="24"/>
              </w:rPr>
              <w:t>δ</w:t>
            </w:r>
            <w:r w:rsidRPr="004826A7">
              <w:rPr>
                <w:rFonts w:cs="Times New Roman"/>
                <w:szCs w:val="24"/>
                <w:vertAlign w:val="superscript"/>
              </w:rPr>
              <w:t>18</w:t>
            </w:r>
            <w:r w:rsidRPr="004826A7">
              <w:rPr>
                <w:rFonts w:cs="Times New Roman"/>
                <w:szCs w:val="24"/>
              </w:rPr>
              <w:t>O</w:t>
            </w:r>
          </w:p>
        </w:tc>
        <w:tc>
          <w:tcPr>
            <w:tcW w:w="996" w:type="dxa"/>
            <w:tcBorders>
              <w:bottom w:val="single" w:sz="4" w:space="0" w:color="auto"/>
            </w:tcBorders>
          </w:tcPr>
          <w:p w14:paraId="500611DE" w14:textId="77777777" w:rsidR="007561F6" w:rsidRPr="00F56651" w:rsidRDefault="007561F6" w:rsidP="007561F6">
            <w:pPr>
              <w:pStyle w:val="ListParagraph"/>
              <w:spacing w:line="360" w:lineRule="auto"/>
              <w:ind w:left="0"/>
              <w:rPr>
                <w:rFonts w:cs="Times New Roman"/>
              </w:rPr>
            </w:pPr>
            <w:r w:rsidRPr="00F56651">
              <w:rPr>
                <w:rFonts w:cs="Times New Roman"/>
              </w:rPr>
              <w:t>0.503</w:t>
            </w:r>
          </w:p>
        </w:tc>
        <w:tc>
          <w:tcPr>
            <w:tcW w:w="2177" w:type="dxa"/>
            <w:tcBorders>
              <w:bottom w:val="single" w:sz="4" w:space="0" w:color="auto"/>
            </w:tcBorders>
          </w:tcPr>
          <w:p w14:paraId="13E851A2" w14:textId="77777777" w:rsidR="007561F6" w:rsidRPr="00F56651" w:rsidRDefault="007561F6" w:rsidP="007561F6">
            <w:pPr>
              <w:pStyle w:val="ListParagraph"/>
              <w:spacing w:line="360" w:lineRule="auto"/>
              <w:ind w:left="0"/>
              <w:rPr>
                <w:rFonts w:cs="Times New Roman"/>
              </w:rPr>
            </w:pPr>
            <w:r w:rsidRPr="00F56651">
              <w:rPr>
                <w:rFonts w:cs="Times New Roman"/>
              </w:rPr>
              <w:t>41.631</w:t>
            </w:r>
          </w:p>
        </w:tc>
        <w:tc>
          <w:tcPr>
            <w:tcW w:w="1755" w:type="dxa"/>
            <w:tcBorders>
              <w:bottom w:val="single" w:sz="4" w:space="0" w:color="auto"/>
            </w:tcBorders>
          </w:tcPr>
          <w:p w14:paraId="5290817A" w14:textId="77777777" w:rsidR="007561F6" w:rsidRPr="00F56651" w:rsidRDefault="007561F6" w:rsidP="007561F6">
            <w:pPr>
              <w:pStyle w:val="ListParagraph"/>
              <w:spacing w:line="360" w:lineRule="auto"/>
              <w:ind w:left="0"/>
              <w:rPr>
                <w:rFonts w:cs="Times New Roman"/>
              </w:rPr>
            </w:pPr>
            <w:r w:rsidRPr="00F56651">
              <w:rPr>
                <w:rFonts w:cs="Times New Roman"/>
              </w:rPr>
              <w:t>0.61</w:t>
            </w:r>
            <w:r>
              <w:rPr>
                <w:rFonts w:cs="Times New Roman"/>
              </w:rPr>
              <w:t>8</w:t>
            </w:r>
          </w:p>
        </w:tc>
      </w:tr>
    </w:tbl>
    <w:p w14:paraId="5CFE3701" w14:textId="0174A4F9" w:rsidR="007561F6" w:rsidRDefault="007561F6" w:rsidP="007561F6">
      <w:pPr>
        <w:spacing w:after="160" w:line="259" w:lineRule="auto"/>
      </w:pPr>
      <w:r>
        <w:br w:type="page"/>
      </w:r>
    </w:p>
    <w:p w14:paraId="041518EB" w14:textId="7359D84A" w:rsidR="00C94160" w:rsidRPr="00145D3A" w:rsidRDefault="00C94160" w:rsidP="00C94160">
      <w:pPr>
        <w:rPr>
          <w:rFonts w:cs="Times New Roman"/>
        </w:rPr>
      </w:pPr>
      <w:r w:rsidRPr="00145D3A">
        <w:rPr>
          <w:rFonts w:cs="Times New Roman"/>
        </w:rPr>
        <w:lastRenderedPageBreak/>
        <w:t>Table S3</w:t>
      </w:r>
      <w:r w:rsidRPr="00D704DA">
        <w:rPr>
          <w:rFonts w:cs="Times New Roman"/>
        </w:rPr>
        <w:t xml:space="preserve">. </w:t>
      </w:r>
      <w:r w:rsidRPr="004826A7">
        <w:rPr>
          <w:rFonts w:cs="Times New Roman"/>
        </w:rPr>
        <w:t xml:space="preserve">Comparison of </w:t>
      </w:r>
      <w:r>
        <w:rPr>
          <w:rFonts w:cs="Times New Roman"/>
        </w:rPr>
        <w:t>r</w:t>
      </w:r>
      <w:r w:rsidRPr="004826A7">
        <w:rPr>
          <w:rFonts w:cs="Times New Roman"/>
        </w:rPr>
        <w:t xml:space="preserve">econstructed </w:t>
      </w:r>
      <w:r>
        <w:rPr>
          <w:rFonts w:cs="Times New Roman"/>
        </w:rPr>
        <w:t xml:space="preserve">seasonality based on local high and low </w:t>
      </w:r>
      <w:r w:rsidRPr="004826A7">
        <w:rPr>
          <w:rFonts w:cs="Times New Roman"/>
          <w:szCs w:val="24"/>
        </w:rPr>
        <w:t>δ</w:t>
      </w:r>
      <w:r w:rsidRPr="004826A7">
        <w:rPr>
          <w:rFonts w:cs="Times New Roman"/>
          <w:szCs w:val="24"/>
          <w:vertAlign w:val="superscript"/>
        </w:rPr>
        <w:t>18</w:t>
      </w:r>
      <w:r w:rsidRPr="004826A7">
        <w:rPr>
          <w:rFonts w:cs="Times New Roman"/>
          <w:szCs w:val="24"/>
        </w:rPr>
        <w:t>O</w:t>
      </w:r>
      <w:r w:rsidR="00382505">
        <w:rPr>
          <w:rFonts w:cs="Times New Roman"/>
          <w:szCs w:val="24"/>
        </w:rPr>
        <w:t xml:space="preserve"> values</w:t>
      </w:r>
      <w:r w:rsidRPr="004826A7">
        <w:rPr>
          <w:rFonts w:cs="Times New Roman"/>
        </w:rPr>
        <w:t xml:space="preserve"> </w:t>
      </w:r>
      <w:r>
        <w:rPr>
          <w:rFonts w:cs="Times New Roman"/>
        </w:rPr>
        <w:t xml:space="preserve">in model output and measured M3 profiles; </w:t>
      </w:r>
      <w:r w:rsidRPr="00145D3A">
        <w:rPr>
          <w:rFonts w:cs="Times New Roman"/>
          <w:szCs w:val="24"/>
        </w:rPr>
        <w:t>Δ</w:t>
      </w:r>
      <w:r w:rsidRPr="00145D3A">
        <w:rPr>
          <w:rFonts w:cs="Times New Roman"/>
          <w:szCs w:val="24"/>
          <w:vertAlign w:val="superscript"/>
        </w:rPr>
        <w:t>18</w:t>
      </w:r>
      <w:r w:rsidRPr="00145D3A">
        <w:rPr>
          <w:rFonts w:cs="Times New Roman"/>
          <w:szCs w:val="24"/>
        </w:rPr>
        <w:t>O</w:t>
      </w:r>
      <w:r w:rsidRPr="00145D3A">
        <w:rPr>
          <w:rFonts w:cs="Times New Roman"/>
        </w:rPr>
        <w:t xml:space="preserve"> is the difference between the high and low points, which is used in calculating the percentage signal preserved in molar profiles; the duration of seasonality is reported with the 95</w:t>
      </w:r>
      <w:r>
        <w:rPr>
          <w:rFonts w:cs="Times New Roman"/>
        </w:rPr>
        <w:t xml:space="preserve"> </w:t>
      </w:r>
      <w:r w:rsidRPr="00145D3A">
        <w:rPr>
          <w:rFonts w:cs="Times New Roman"/>
        </w:rPr>
        <w:t>% confidence interval (CI)</w:t>
      </w:r>
      <w:r>
        <w:rPr>
          <w:rFonts w:cs="Times New Roman"/>
        </w:rPr>
        <w:t>; consistent seasonal durations between the model output and molar timelines are bolded; asterisks (*) indicate timeline reconstruction based on inverse model output.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29" w:type="dxa"/>
          <w:left w:w="72" w:type="dxa"/>
          <w:bottom w:w="29" w:type="dxa"/>
          <w:right w:w="72" w:type="dxa"/>
        </w:tblCellMar>
        <w:tblLook w:val="04A0" w:firstRow="1" w:lastRow="0" w:firstColumn="1" w:lastColumn="0" w:noHBand="0" w:noVBand="1"/>
      </w:tblPr>
      <w:tblGrid>
        <w:gridCol w:w="2250"/>
        <w:gridCol w:w="1800"/>
        <w:gridCol w:w="1710"/>
        <w:gridCol w:w="1980"/>
        <w:gridCol w:w="1620"/>
      </w:tblGrid>
      <w:tr w:rsidR="007561F6" w:rsidRPr="000F44B4" w14:paraId="423F4A7B" w14:textId="77777777" w:rsidTr="00CF12B5">
        <w:tc>
          <w:tcPr>
            <w:tcW w:w="2250" w:type="dxa"/>
            <w:tcBorders>
              <w:top w:val="single" w:sz="4" w:space="0" w:color="auto"/>
              <w:bottom w:val="single" w:sz="4" w:space="0" w:color="auto"/>
            </w:tcBorders>
            <w:shd w:val="clear" w:color="auto" w:fill="FFFFFF" w:themeFill="background1"/>
            <w:vAlign w:val="center"/>
          </w:tcPr>
          <w:p w14:paraId="1F91120F" w14:textId="77777777" w:rsidR="007561F6" w:rsidRPr="000F44B4" w:rsidRDefault="007561F6" w:rsidP="007561F6">
            <w:pPr>
              <w:spacing w:line="240" w:lineRule="auto"/>
              <w:jc w:val="center"/>
              <w:rPr>
                <w:rFonts w:cs="Times New Roman"/>
              </w:rPr>
            </w:pPr>
          </w:p>
        </w:tc>
        <w:tc>
          <w:tcPr>
            <w:tcW w:w="1800" w:type="dxa"/>
            <w:tcBorders>
              <w:top w:val="single" w:sz="4" w:space="0" w:color="auto"/>
              <w:bottom w:val="single" w:sz="4" w:space="0" w:color="auto"/>
            </w:tcBorders>
            <w:shd w:val="clear" w:color="auto" w:fill="FFFFFF" w:themeFill="background1"/>
            <w:vAlign w:val="center"/>
          </w:tcPr>
          <w:p w14:paraId="1B6E841F" w14:textId="77777777" w:rsidR="007561F6" w:rsidRPr="000F44B4" w:rsidRDefault="007561F6" w:rsidP="007561F6">
            <w:pPr>
              <w:spacing w:line="240" w:lineRule="auto"/>
              <w:jc w:val="center"/>
              <w:rPr>
                <w:rFonts w:cs="Times New Roman"/>
              </w:rPr>
            </w:pPr>
            <w:r w:rsidRPr="000F44B4">
              <w:rPr>
                <w:rFonts w:cs="Times New Roman"/>
              </w:rPr>
              <w:t xml:space="preserve">MPL1 </w:t>
            </w:r>
            <w:r>
              <w:rPr>
                <w:rFonts w:cs="Times New Roman"/>
              </w:rPr>
              <w:t>*modeled</w:t>
            </w:r>
          </w:p>
        </w:tc>
        <w:tc>
          <w:tcPr>
            <w:tcW w:w="1710" w:type="dxa"/>
            <w:tcBorders>
              <w:top w:val="single" w:sz="4" w:space="0" w:color="auto"/>
              <w:bottom w:val="single" w:sz="4" w:space="0" w:color="auto"/>
            </w:tcBorders>
            <w:shd w:val="clear" w:color="auto" w:fill="FFFFFF" w:themeFill="background1"/>
            <w:vAlign w:val="center"/>
          </w:tcPr>
          <w:p w14:paraId="79CF555A" w14:textId="77777777" w:rsidR="007561F6" w:rsidRPr="000F44B4" w:rsidRDefault="007561F6" w:rsidP="007561F6">
            <w:pPr>
              <w:spacing w:line="240" w:lineRule="auto"/>
              <w:jc w:val="center"/>
              <w:rPr>
                <w:rFonts w:cs="Times New Roman"/>
              </w:rPr>
            </w:pPr>
            <w:r w:rsidRPr="000F44B4">
              <w:rPr>
                <w:rFonts w:cs="Times New Roman"/>
              </w:rPr>
              <w:t>MPL1 M3</w:t>
            </w:r>
          </w:p>
        </w:tc>
        <w:tc>
          <w:tcPr>
            <w:tcW w:w="1980" w:type="dxa"/>
            <w:tcBorders>
              <w:top w:val="single" w:sz="4" w:space="0" w:color="auto"/>
              <w:bottom w:val="single" w:sz="4" w:space="0" w:color="auto"/>
            </w:tcBorders>
            <w:shd w:val="clear" w:color="auto" w:fill="FFFFFF" w:themeFill="background1"/>
            <w:vAlign w:val="center"/>
          </w:tcPr>
          <w:p w14:paraId="220A5176" w14:textId="77777777" w:rsidR="007561F6" w:rsidRPr="000F44B4" w:rsidRDefault="007561F6" w:rsidP="007561F6">
            <w:pPr>
              <w:spacing w:line="240" w:lineRule="auto"/>
              <w:jc w:val="center"/>
              <w:rPr>
                <w:rFonts w:cs="Times New Roman"/>
              </w:rPr>
            </w:pPr>
            <w:r w:rsidRPr="000F44B4">
              <w:rPr>
                <w:rFonts w:cs="Times New Roman"/>
              </w:rPr>
              <w:t xml:space="preserve">MPL2 </w:t>
            </w:r>
            <w:r>
              <w:rPr>
                <w:rFonts w:cs="Times New Roman"/>
              </w:rPr>
              <w:t>*modeled</w:t>
            </w:r>
          </w:p>
        </w:tc>
        <w:tc>
          <w:tcPr>
            <w:tcW w:w="1620" w:type="dxa"/>
            <w:tcBorders>
              <w:top w:val="single" w:sz="4" w:space="0" w:color="auto"/>
              <w:bottom w:val="single" w:sz="4" w:space="0" w:color="auto"/>
            </w:tcBorders>
            <w:shd w:val="clear" w:color="auto" w:fill="FFFFFF" w:themeFill="background1"/>
            <w:vAlign w:val="center"/>
          </w:tcPr>
          <w:p w14:paraId="00E3E7C6" w14:textId="77777777" w:rsidR="007561F6" w:rsidRPr="000F44B4" w:rsidRDefault="007561F6" w:rsidP="007561F6">
            <w:pPr>
              <w:spacing w:line="240" w:lineRule="auto"/>
              <w:jc w:val="center"/>
              <w:rPr>
                <w:rFonts w:cs="Times New Roman"/>
              </w:rPr>
            </w:pPr>
            <w:r w:rsidRPr="000F44B4">
              <w:rPr>
                <w:rFonts w:cs="Times New Roman"/>
              </w:rPr>
              <w:t>MPL2 M3</w:t>
            </w:r>
          </w:p>
        </w:tc>
      </w:tr>
      <w:tr w:rsidR="007561F6" w:rsidRPr="000F44B4" w14:paraId="09B34404" w14:textId="77777777" w:rsidTr="00CF12B5">
        <w:tc>
          <w:tcPr>
            <w:tcW w:w="2250" w:type="dxa"/>
            <w:tcBorders>
              <w:top w:val="single" w:sz="4" w:space="0" w:color="auto"/>
            </w:tcBorders>
            <w:shd w:val="clear" w:color="auto" w:fill="FFFFFF" w:themeFill="background1"/>
            <w:vAlign w:val="center"/>
          </w:tcPr>
          <w:p w14:paraId="11192954" w14:textId="77777777" w:rsidR="007561F6" w:rsidRPr="000F44B4" w:rsidRDefault="007561F6" w:rsidP="007561F6">
            <w:pPr>
              <w:spacing w:line="240" w:lineRule="auto"/>
              <w:jc w:val="center"/>
              <w:rPr>
                <w:rFonts w:cs="Times New Roman"/>
              </w:rPr>
            </w:pPr>
            <w:r w:rsidRPr="000F44B4">
              <w:rPr>
                <w:rFonts w:cs="Times New Roman"/>
                <w:szCs w:val="24"/>
              </w:rPr>
              <w:t>Season</w:t>
            </w:r>
            <w:r>
              <w:rPr>
                <w:rFonts w:cs="Times New Roman"/>
                <w:szCs w:val="24"/>
              </w:rPr>
              <w:t xml:space="preserve"> 1</w:t>
            </w:r>
          </w:p>
        </w:tc>
        <w:tc>
          <w:tcPr>
            <w:tcW w:w="1800" w:type="dxa"/>
            <w:tcBorders>
              <w:top w:val="single" w:sz="4" w:space="0" w:color="auto"/>
            </w:tcBorders>
            <w:shd w:val="clear" w:color="auto" w:fill="FFFFFF" w:themeFill="background1"/>
            <w:vAlign w:val="center"/>
          </w:tcPr>
          <w:p w14:paraId="0D5335E3" w14:textId="77777777" w:rsidR="007561F6" w:rsidRPr="000F44B4" w:rsidRDefault="007561F6" w:rsidP="007561F6">
            <w:pPr>
              <w:spacing w:line="240" w:lineRule="auto"/>
              <w:jc w:val="center"/>
              <w:rPr>
                <w:rFonts w:cs="Times New Roman"/>
              </w:rPr>
            </w:pPr>
            <w:r w:rsidRPr="000F44B4">
              <w:rPr>
                <w:rFonts w:cs="Times New Roman"/>
              </w:rPr>
              <w:t>Dry</w:t>
            </w:r>
          </w:p>
        </w:tc>
        <w:tc>
          <w:tcPr>
            <w:tcW w:w="1710" w:type="dxa"/>
            <w:tcBorders>
              <w:top w:val="single" w:sz="4" w:space="0" w:color="auto"/>
            </w:tcBorders>
            <w:shd w:val="clear" w:color="auto" w:fill="FFFFFF" w:themeFill="background1"/>
            <w:vAlign w:val="center"/>
          </w:tcPr>
          <w:p w14:paraId="4C470C0C" w14:textId="77777777" w:rsidR="007561F6" w:rsidRPr="000F44B4" w:rsidRDefault="007561F6" w:rsidP="007561F6">
            <w:pPr>
              <w:spacing w:line="240" w:lineRule="auto"/>
              <w:jc w:val="center"/>
              <w:rPr>
                <w:rFonts w:cs="Times New Roman"/>
              </w:rPr>
            </w:pPr>
            <w:r w:rsidRPr="000F44B4">
              <w:rPr>
                <w:rFonts w:cs="Times New Roman"/>
              </w:rPr>
              <w:t>Dry</w:t>
            </w:r>
          </w:p>
        </w:tc>
        <w:tc>
          <w:tcPr>
            <w:tcW w:w="1980" w:type="dxa"/>
            <w:tcBorders>
              <w:top w:val="single" w:sz="4" w:space="0" w:color="auto"/>
            </w:tcBorders>
            <w:shd w:val="clear" w:color="auto" w:fill="FFFFFF" w:themeFill="background1"/>
            <w:vAlign w:val="center"/>
          </w:tcPr>
          <w:p w14:paraId="5CA6063E" w14:textId="77777777" w:rsidR="007561F6" w:rsidRPr="000F44B4" w:rsidRDefault="007561F6" w:rsidP="007561F6">
            <w:pPr>
              <w:spacing w:line="240" w:lineRule="auto"/>
              <w:jc w:val="center"/>
              <w:rPr>
                <w:rFonts w:cs="Times New Roman"/>
              </w:rPr>
            </w:pPr>
            <w:r w:rsidRPr="000F44B4">
              <w:rPr>
                <w:rFonts w:cs="Times New Roman"/>
              </w:rPr>
              <w:t>Dry</w:t>
            </w:r>
          </w:p>
        </w:tc>
        <w:tc>
          <w:tcPr>
            <w:tcW w:w="1620" w:type="dxa"/>
            <w:tcBorders>
              <w:top w:val="single" w:sz="4" w:space="0" w:color="auto"/>
            </w:tcBorders>
            <w:shd w:val="clear" w:color="auto" w:fill="FFFFFF" w:themeFill="background1"/>
            <w:vAlign w:val="center"/>
          </w:tcPr>
          <w:p w14:paraId="684A6937" w14:textId="77777777" w:rsidR="007561F6" w:rsidRPr="000F44B4" w:rsidRDefault="007561F6" w:rsidP="007561F6">
            <w:pPr>
              <w:spacing w:line="240" w:lineRule="auto"/>
              <w:jc w:val="center"/>
              <w:rPr>
                <w:rFonts w:cs="Times New Roman"/>
              </w:rPr>
            </w:pPr>
            <w:r w:rsidRPr="000F44B4">
              <w:rPr>
                <w:rFonts w:cs="Times New Roman"/>
              </w:rPr>
              <w:t>Dry</w:t>
            </w:r>
          </w:p>
        </w:tc>
      </w:tr>
      <w:tr w:rsidR="007561F6" w:rsidRPr="000F44B4" w14:paraId="58A0A794" w14:textId="77777777" w:rsidTr="00CF12B5">
        <w:tc>
          <w:tcPr>
            <w:tcW w:w="2250" w:type="dxa"/>
            <w:shd w:val="clear" w:color="auto" w:fill="FFFFFF" w:themeFill="background1"/>
            <w:vAlign w:val="center"/>
          </w:tcPr>
          <w:p w14:paraId="3D45098C" w14:textId="77777777" w:rsidR="007561F6" w:rsidRPr="000F44B4" w:rsidRDefault="007561F6" w:rsidP="007561F6">
            <w:pPr>
              <w:spacing w:line="240" w:lineRule="auto"/>
              <w:jc w:val="center"/>
              <w:rPr>
                <w:rFonts w:cs="Times New Roman"/>
              </w:rPr>
            </w:pPr>
            <w:r w:rsidRPr="000F44B4">
              <w:rPr>
                <w:rFonts w:cs="Times New Roman"/>
                <w:szCs w:val="24"/>
              </w:rPr>
              <w:t>Δ</w:t>
            </w:r>
            <w:r w:rsidRPr="000F44B4">
              <w:rPr>
                <w:rFonts w:cs="Times New Roman"/>
                <w:szCs w:val="24"/>
                <w:vertAlign w:val="superscript"/>
              </w:rPr>
              <w:t>18</w:t>
            </w:r>
            <w:r w:rsidRPr="000F44B4">
              <w:rPr>
                <w:rFonts w:cs="Times New Roman"/>
                <w:szCs w:val="24"/>
              </w:rPr>
              <w:t>O</w:t>
            </w:r>
            <w:r w:rsidRPr="000F44B4">
              <w:rPr>
                <w:rFonts w:cs="Times New Roman"/>
              </w:rPr>
              <w:t xml:space="preserve"> (‰)</w:t>
            </w:r>
          </w:p>
        </w:tc>
        <w:tc>
          <w:tcPr>
            <w:tcW w:w="1800" w:type="dxa"/>
            <w:shd w:val="clear" w:color="auto" w:fill="FFFFFF" w:themeFill="background1"/>
            <w:vAlign w:val="center"/>
          </w:tcPr>
          <w:p w14:paraId="1C8C0D43" w14:textId="77777777" w:rsidR="007561F6" w:rsidRPr="000F44B4" w:rsidRDefault="007561F6" w:rsidP="007561F6">
            <w:pPr>
              <w:spacing w:line="240" w:lineRule="auto"/>
              <w:jc w:val="center"/>
              <w:rPr>
                <w:rFonts w:cs="Times New Roman"/>
              </w:rPr>
            </w:pPr>
            <w:r w:rsidRPr="000F44B4">
              <w:rPr>
                <w:rFonts w:cs="Times New Roman"/>
              </w:rPr>
              <w:t>+3.3</w:t>
            </w:r>
          </w:p>
        </w:tc>
        <w:tc>
          <w:tcPr>
            <w:tcW w:w="1710" w:type="dxa"/>
            <w:shd w:val="clear" w:color="auto" w:fill="FFFFFF" w:themeFill="background1"/>
            <w:vAlign w:val="center"/>
          </w:tcPr>
          <w:p w14:paraId="43E58F2B" w14:textId="77777777" w:rsidR="007561F6" w:rsidRPr="000F44B4" w:rsidRDefault="007561F6" w:rsidP="007561F6">
            <w:pPr>
              <w:spacing w:line="240" w:lineRule="auto"/>
              <w:jc w:val="center"/>
              <w:rPr>
                <w:rFonts w:cs="Times New Roman"/>
              </w:rPr>
            </w:pPr>
            <w:r w:rsidRPr="000F44B4">
              <w:rPr>
                <w:rFonts w:cs="Times New Roman"/>
              </w:rPr>
              <w:t>+2.1</w:t>
            </w:r>
          </w:p>
        </w:tc>
        <w:tc>
          <w:tcPr>
            <w:tcW w:w="1980" w:type="dxa"/>
            <w:shd w:val="clear" w:color="auto" w:fill="FFFFFF" w:themeFill="background1"/>
            <w:vAlign w:val="center"/>
          </w:tcPr>
          <w:p w14:paraId="58B23791" w14:textId="77777777" w:rsidR="007561F6" w:rsidRPr="000F44B4" w:rsidRDefault="007561F6" w:rsidP="007561F6">
            <w:pPr>
              <w:spacing w:line="240" w:lineRule="auto"/>
              <w:jc w:val="center"/>
              <w:rPr>
                <w:rFonts w:cs="Times New Roman"/>
              </w:rPr>
            </w:pPr>
            <w:r w:rsidRPr="000F44B4">
              <w:rPr>
                <w:rFonts w:cs="Times New Roman"/>
              </w:rPr>
              <w:t>+3.9</w:t>
            </w:r>
          </w:p>
        </w:tc>
        <w:tc>
          <w:tcPr>
            <w:tcW w:w="1620" w:type="dxa"/>
            <w:shd w:val="clear" w:color="auto" w:fill="FFFFFF" w:themeFill="background1"/>
            <w:vAlign w:val="center"/>
          </w:tcPr>
          <w:p w14:paraId="480A9270" w14:textId="77777777" w:rsidR="007561F6" w:rsidRPr="000F44B4" w:rsidRDefault="007561F6" w:rsidP="007561F6">
            <w:pPr>
              <w:spacing w:line="240" w:lineRule="auto"/>
              <w:jc w:val="center"/>
              <w:rPr>
                <w:rFonts w:cs="Times New Roman"/>
              </w:rPr>
            </w:pPr>
            <w:r w:rsidRPr="000F44B4">
              <w:rPr>
                <w:rFonts w:cs="Times New Roman"/>
              </w:rPr>
              <w:t>+1.9</w:t>
            </w:r>
          </w:p>
        </w:tc>
      </w:tr>
      <w:tr w:rsidR="007561F6" w:rsidRPr="000F44B4" w14:paraId="3707DB04" w14:textId="77777777" w:rsidTr="00CF12B5">
        <w:tc>
          <w:tcPr>
            <w:tcW w:w="2250" w:type="dxa"/>
            <w:tcBorders>
              <w:bottom w:val="single" w:sz="4" w:space="0" w:color="auto"/>
            </w:tcBorders>
            <w:shd w:val="clear" w:color="auto" w:fill="FFFFFF" w:themeFill="background1"/>
            <w:vAlign w:val="center"/>
          </w:tcPr>
          <w:p w14:paraId="2649D141" w14:textId="77777777" w:rsidR="007561F6" w:rsidRPr="000F44B4" w:rsidRDefault="007561F6" w:rsidP="007561F6">
            <w:pPr>
              <w:spacing w:line="240" w:lineRule="auto"/>
              <w:jc w:val="center"/>
              <w:rPr>
                <w:rFonts w:cs="Times New Roman"/>
              </w:rPr>
            </w:pPr>
            <w:r w:rsidRPr="000F44B4">
              <w:rPr>
                <w:rFonts w:cs="Times New Roman"/>
              </w:rPr>
              <w:t>Duration [</w:t>
            </w:r>
            <w:r>
              <w:rPr>
                <w:rFonts w:cs="Times New Roman"/>
              </w:rPr>
              <w:t>95 % CI</w:t>
            </w:r>
            <w:r w:rsidRPr="000F44B4">
              <w:rPr>
                <w:rFonts w:cs="Times New Roman"/>
              </w:rPr>
              <w:t>] (days)</w:t>
            </w:r>
          </w:p>
        </w:tc>
        <w:tc>
          <w:tcPr>
            <w:tcW w:w="1800" w:type="dxa"/>
            <w:tcBorders>
              <w:bottom w:val="single" w:sz="4" w:space="0" w:color="auto"/>
            </w:tcBorders>
            <w:shd w:val="clear" w:color="auto" w:fill="FFFFFF" w:themeFill="background1"/>
            <w:vAlign w:val="center"/>
          </w:tcPr>
          <w:p w14:paraId="78ED6115" w14:textId="77777777" w:rsidR="007561F6" w:rsidRPr="000F44B4" w:rsidRDefault="007561F6" w:rsidP="007561F6">
            <w:pPr>
              <w:spacing w:line="240" w:lineRule="auto"/>
              <w:jc w:val="center"/>
              <w:rPr>
                <w:rFonts w:cs="Times New Roman"/>
              </w:rPr>
            </w:pPr>
            <w:r w:rsidRPr="000F44B4">
              <w:rPr>
                <w:rFonts w:cs="Times New Roman"/>
              </w:rPr>
              <w:t>151 [120 – 206]</w:t>
            </w:r>
          </w:p>
        </w:tc>
        <w:tc>
          <w:tcPr>
            <w:tcW w:w="1710" w:type="dxa"/>
            <w:tcBorders>
              <w:bottom w:val="single" w:sz="4" w:space="0" w:color="auto"/>
            </w:tcBorders>
            <w:shd w:val="clear" w:color="auto" w:fill="FFFFFF" w:themeFill="background1"/>
            <w:vAlign w:val="center"/>
          </w:tcPr>
          <w:p w14:paraId="45B264DB" w14:textId="77777777" w:rsidR="007561F6" w:rsidRPr="000F44B4" w:rsidRDefault="007561F6" w:rsidP="007561F6">
            <w:pPr>
              <w:spacing w:line="240" w:lineRule="auto"/>
              <w:jc w:val="center"/>
              <w:rPr>
                <w:rFonts w:cs="Times New Roman"/>
              </w:rPr>
            </w:pPr>
            <w:r w:rsidRPr="000F44B4">
              <w:rPr>
                <w:rFonts w:cs="Times New Roman"/>
              </w:rPr>
              <w:t>203 [175 – 240]</w:t>
            </w:r>
          </w:p>
        </w:tc>
        <w:tc>
          <w:tcPr>
            <w:tcW w:w="1980" w:type="dxa"/>
            <w:tcBorders>
              <w:bottom w:val="single" w:sz="4" w:space="0" w:color="auto"/>
            </w:tcBorders>
            <w:shd w:val="clear" w:color="auto" w:fill="FFFFFF" w:themeFill="background1"/>
            <w:vAlign w:val="center"/>
          </w:tcPr>
          <w:p w14:paraId="67D3F3B5" w14:textId="77777777" w:rsidR="007561F6" w:rsidRPr="000F44B4" w:rsidRDefault="007561F6" w:rsidP="007561F6">
            <w:pPr>
              <w:spacing w:line="240" w:lineRule="auto"/>
              <w:jc w:val="center"/>
              <w:rPr>
                <w:rFonts w:cs="Times New Roman"/>
              </w:rPr>
            </w:pPr>
            <w:r w:rsidRPr="000F44B4">
              <w:rPr>
                <w:rFonts w:cs="Times New Roman"/>
              </w:rPr>
              <w:t>79 [63 – 107]</w:t>
            </w:r>
          </w:p>
        </w:tc>
        <w:tc>
          <w:tcPr>
            <w:tcW w:w="1620" w:type="dxa"/>
            <w:tcBorders>
              <w:bottom w:val="single" w:sz="4" w:space="0" w:color="auto"/>
            </w:tcBorders>
            <w:shd w:val="clear" w:color="auto" w:fill="FFFFFF" w:themeFill="background1"/>
            <w:vAlign w:val="center"/>
          </w:tcPr>
          <w:p w14:paraId="493951E7" w14:textId="77777777" w:rsidR="007561F6" w:rsidRPr="000F44B4" w:rsidRDefault="007561F6" w:rsidP="007561F6">
            <w:pPr>
              <w:spacing w:line="240" w:lineRule="auto"/>
              <w:jc w:val="center"/>
              <w:rPr>
                <w:rFonts w:cs="Times New Roman"/>
              </w:rPr>
            </w:pPr>
            <w:r w:rsidRPr="000F44B4">
              <w:rPr>
                <w:rFonts w:cs="Times New Roman"/>
              </w:rPr>
              <w:t>104 [88 – 126]</w:t>
            </w:r>
          </w:p>
        </w:tc>
      </w:tr>
      <w:tr w:rsidR="007561F6" w:rsidRPr="000F44B4" w14:paraId="65B66B1C" w14:textId="77777777" w:rsidTr="00CF12B5">
        <w:tc>
          <w:tcPr>
            <w:tcW w:w="2250" w:type="dxa"/>
            <w:tcBorders>
              <w:top w:val="single" w:sz="4" w:space="0" w:color="auto"/>
            </w:tcBorders>
            <w:shd w:val="clear" w:color="auto" w:fill="FFFFFF" w:themeFill="background1"/>
            <w:vAlign w:val="center"/>
          </w:tcPr>
          <w:p w14:paraId="436A08F6" w14:textId="77777777" w:rsidR="007561F6" w:rsidRPr="000F44B4" w:rsidRDefault="007561F6" w:rsidP="007561F6">
            <w:pPr>
              <w:spacing w:before="120" w:line="240" w:lineRule="auto"/>
              <w:jc w:val="center"/>
              <w:rPr>
                <w:rFonts w:cs="Times New Roman"/>
              </w:rPr>
            </w:pPr>
            <w:r w:rsidRPr="000F44B4">
              <w:rPr>
                <w:rFonts w:cs="Times New Roman"/>
              </w:rPr>
              <w:t>Season</w:t>
            </w:r>
            <w:r>
              <w:rPr>
                <w:rFonts w:cs="Times New Roman"/>
              </w:rPr>
              <w:t xml:space="preserve"> 2</w:t>
            </w:r>
          </w:p>
        </w:tc>
        <w:tc>
          <w:tcPr>
            <w:tcW w:w="1800" w:type="dxa"/>
            <w:tcBorders>
              <w:top w:val="single" w:sz="4" w:space="0" w:color="auto"/>
            </w:tcBorders>
            <w:shd w:val="clear" w:color="auto" w:fill="FFFFFF" w:themeFill="background1"/>
            <w:vAlign w:val="center"/>
          </w:tcPr>
          <w:p w14:paraId="55E69D68" w14:textId="77777777" w:rsidR="007561F6" w:rsidRPr="000F44B4" w:rsidRDefault="007561F6" w:rsidP="007561F6">
            <w:pPr>
              <w:spacing w:before="120" w:line="240" w:lineRule="auto"/>
              <w:jc w:val="center"/>
              <w:rPr>
                <w:rFonts w:cs="Times New Roman"/>
              </w:rPr>
            </w:pPr>
            <w:r w:rsidRPr="000F44B4">
              <w:rPr>
                <w:rFonts w:cs="Times New Roman"/>
              </w:rPr>
              <w:t>Rainy</w:t>
            </w:r>
          </w:p>
        </w:tc>
        <w:tc>
          <w:tcPr>
            <w:tcW w:w="1710" w:type="dxa"/>
            <w:tcBorders>
              <w:top w:val="single" w:sz="4" w:space="0" w:color="auto"/>
            </w:tcBorders>
            <w:shd w:val="clear" w:color="auto" w:fill="FFFFFF" w:themeFill="background1"/>
            <w:vAlign w:val="center"/>
          </w:tcPr>
          <w:p w14:paraId="0B318908" w14:textId="77777777" w:rsidR="007561F6" w:rsidRPr="000F44B4" w:rsidRDefault="007561F6" w:rsidP="007561F6">
            <w:pPr>
              <w:spacing w:before="120" w:line="240" w:lineRule="auto"/>
              <w:jc w:val="center"/>
              <w:rPr>
                <w:rFonts w:cs="Times New Roman"/>
              </w:rPr>
            </w:pPr>
            <w:r w:rsidRPr="000F44B4">
              <w:rPr>
                <w:rFonts w:cs="Times New Roman"/>
              </w:rPr>
              <w:t>Rainy</w:t>
            </w:r>
          </w:p>
        </w:tc>
        <w:tc>
          <w:tcPr>
            <w:tcW w:w="1980" w:type="dxa"/>
            <w:tcBorders>
              <w:top w:val="single" w:sz="4" w:space="0" w:color="auto"/>
            </w:tcBorders>
            <w:shd w:val="clear" w:color="auto" w:fill="FFFFFF" w:themeFill="background1"/>
            <w:vAlign w:val="center"/>
          </w:tcPr>
          <w:p w14:paraId="0662C11D" w14:textId="77777777" w:rsidR="007561F6" w:rsidRPr="000F44B4" w:rsidRDefault="007561F6" w:rsidP="007561F6">
            <w:pPr>
              <w:spacing w:before="120" w:line="240" w:lineRule="auto"/>
              <w:jc w:val="center"/>
              <w:rPr>
                <w:rFonts w:cs="Times New Roman"/>
              </w:rPr>
            </w:pPr>
            <w:r w:rsidRPr="000F44B4">
              <w:rPr>
                <w:rFonts w:cs="Times New Roman"/>
              </w:rPr>
              <w:t>Rainy</w:t>
            </w:r>
          </w:p>
        </w:tc>
        <w:tc>
          <w:tcPr>
            <w:tcW w:w="1620" w:type="dxa"/>
            <w:tcBorders>
              <w:top w:val="single" w:sz="4" w:space="0" w:color="auto"/>
            </w:tcBorders>
            <w:shd w:val="clear" w:color="auto" w:fill="FFFFFF" w:themeFill="background1"/>
            <w:vAlign w:val="center"/>
          </w:tcPr>
          <w:p w14:paraId="15973AC6" w14:textId="77777777" w:rsidR="007561F6" w:rsidRPr="000F44B4" w:rsidRDefault="007561F6" w:rsidP="007561F6">
            <w:pPr>
              <w:spacing w:before="120" w:line="240" w:lineRule="auto"/>
              <w:jc w:val="center"/>
              <w:rPr>
                <w:rFonts w:cs="Times New Roman"/>
              </w:rPr>
            </w:pPr>
            <w:r w:rsidRPr="000F44B4">
              <w:rPr>
                <w:rFonts w:cs="Times New Roman"/>
              </w:rPr>
              <w:t>Rainy</w:t>
            </w:r>
          </w:p>
        </w:tc>
      </w:tr>
      <w:tr w:rsidR="007561F6" w:rsidRPr="000F44B4" w14:paraId="3F018E6E" w14:textId="77777777" w:rsidTr="00CF12B5">
        <w:tc>
          <w:tcPr>
            <w:tcW w:w="2250" w:type="dxa"/>
            <w:shd w:val="clear" w:color="auto" w:fill="FFFFFF" w:themeFill="background1"/>
            <w:vAlign w:val="center"/>
          </w:tcPr>
          <w:p w14:paraId="2237FF52" w14:textId="77777777" w:rsidR="007561F6" w:rsidRPr="000F44B4" w:rsidRDefault="007561F6" w:rsidP="007561F6">
            <w:pPr>
              <w:spacing w:line="240" w:lineRule="auto"/>
              <w:jc w:val="center"/>
              <w:rPr>
                <w:rFonts w:cs="Times New Roman"/>
              </w:rPr>
            </w:pPr>
            <w:r w:rsidRPr="000F44B4">
              <w:rPr>
                <w:rFonts w:cs="Times New Roman"/>
                <w:szCs w:val="24"/>
              </w:rPr>
              <w:t>Δ</w:t>
            </w:r>
            <w:r w:rsidRPr="000F44B4">
              <w:rPr>
                <w:rFonts w:cs="Times New Roman"/>
                <w:szCs w:val="24"/>
                <w:vertAlign w:val="superscript"/>
              </w:rPr>
              <w:t>18</w:t>
            </w:r>
            <w:r w:rsidRPr="000F44B4">
              <w:rPr>
                <w:rFonts w:cs="Times New Roman"/>
                <w:szCs w:val="24"/>
              </w:rPr>
              <w:t>O</w:t>
            </w:r>
            <w:r w:rsidRPr="000F44B4">
              <w:rPr>
                <w:rFonts w:cs="Times New Roman"/>
              </w:rPr>
              <w:t xml:space="preserve"> (‰)</w:t>
            </w:r>
          </w:p>
        </w:tc>
        <w:tc>
          <w:tcPr>
            <w:tcW w:w="1800" w:type="dxa"/>
            <w:shd w:val="clear" w:color="auto" w:fill="FFFFFF" w:themeFill="background1"/>
            <w:vAlign w:val="center"/>
          </w:tcPr>
          <w:p w14:paraId="594AA0B7" w14:textId="7D7CB1FD" w:rsidR="007561F6" w:rsidRPr="000F44B4" w:rsidRDefault="003C4D91" w:rsidP="007561F6">
            <w:pPr>
              <w:spacing w:line="240" w:lineRule="auto"/>
              <w:jc w:val="center"/>
              <w:rPr>
                <w:rFonts w:cs="Times New Roman"/>
              </w:rPr>
            </w:pPr>
            <w:r>
              <w:rPr>
                <w:rFonts w:cs="Times New Roman"/>
              </w:rPr>
              <w:t>−</w:t>
            </w:r>
            <w:r w:rsidR="007561F6" w:rsidRPr="000F44B4">
              <w:rPr>
                <w:rFonts w:cs="Times New Roman"/>
              </w:rPr>
              <w:t>0.5</w:t>
            </w:r>
          </w:p>
        </w:tc>
        <w:tc>
          <w:tcPr>
            <w:tcW w:w="1710" w:type="dxa"/>
            <w:shd w:val="clear" w:color="auto" w:fill="FFFFFF" w:themeFill="background1"/>
            <w:vAlign w:val="center"/>
          </w:tcPr>
          <w:p w14:paraId="1F04619A" w14:textId="33C5262E" w:rsidR="007561F6" w:rsidRPr="000F44B4" w:rsidRDefault="003C4D91" w:rsidP="007561F6">
            <w:pPr>
              <w:spacing w:line="240" w:lineRule="auto"/>
              <w:jc w:val="center"/>
              <w:rPr>
                <w:rFonts w:cs="Times New Roman"/>
              </w:rPr>
            </w:pPr>
            <w:r>
              <w:rPr>
                <w:rFonts w:cs="Times New Roman"/>
              </w:rPr>
              <w:t>−</w:t>
            </w:r>
            <w:r w:rsidR="007561F6" w:rsidRPr="000F44B4">
              <w:rPr>
                <w:rFonts w:cs="Times New Roman"/>
              </w:rPr>
              <w:t>0.4</w:t>
            </w:r>
          </w:p>
        </w:tc>
        <w:tc>
          <w:tcPr>
            <w:tcW w:w="1980" w:type="dxa"/>
            <w:shd w:val="clear" w:color="auto" w:fill="FFFFFF" w:themeFill="background1"/>
            <w:vAlign w:val="center"/>
          </w:tcPr>
          <w:p w14:paraId="0621119D" w14:textId="2D568283" w:rsidR="007561F6" w:rsidRPr="000F44B4" w:rsidRDefault="003C4D91" w:rsidP="007561F6">
            <w:pPr>
              <w:spacing w:line="240" w:lineRule="auto"/>
              <w:jc w:val="center"/>
              <w:rPr>
                <w:rFonts w:cs="Times New Roman"/>
              </w:rPr>
            </w:pPr>
            <w:r>
              <w:rPr>
                <w:rFonts w:cs="Times New Roman"/>
              </w:rPr>
              <w:t>−</w:t>
            </w:r>
            <w:r w:rsidR="007561F6" w:rsidRPr="000F44B4">
              <w:rPr>
                <w:rFonts w:cs="Times New Roman"/>
              </w:rPr>
              <w:t>4.2</w:t>
            </w:r>
          </w:p>
        </w:tc>
        <w:tc>
          <w:tcPr>
            <w:tcW w:w="1620" w:type="dxa"/>
            <w:shd w:val="clear" w:color="auto" w:fill="FFFFFF" w:themeFill="background1"/>
            <w:vAlign w:val="center"/>
          </w:tcPr>
          <w:p w14:paraId="3DAD5E25" w14:textId="6AD9A039" w:rsidR="007561F6" w:rsidRPr="000F44B4" w:rsidRDefault="003C4D91" w:rsidP="007561F6">
            <w:pPr>
              <w:spacing w:line="240" w:lineRule="auto"/>
              <w:jc w:val="center"/>
              <w:rPr>
                <w:rFonts w:cs="Times New Roman"/>
              </w:rPr>
            </w:pPr>
            <w:r>
              <w:rPr>
                <w:rFonts w:cs="Times New Roman"/>
              </w:rPr>
              <w:t>−</w:t>
            </w:r>
            <w:r w:rsidR="007561F6" w:rsidRPr="000F44B4">
              <w:rPr>
                <w:rFonts w:cs="Times New Roman"/>
              </w:rPr>
              <w:t>2.5</w:t>
            </w:r>
          </w:p>
        </w:tc>
      </w:tr>
      <w:tr w:rsidR="007561F6" w:rsidRPr="000F44B4" w14:paraId="01F688A4" w14:textId="77777777" w:rsidTr="00CF12B5">
        <w:tc>
          <w:tcPr>
            <w:tcW w:w="2250" w:type="dxa"/>
            <w:tcBorders>
              <w:bottom w:val="single" w:sz="4" w:space="0" w:color="auto"/>
            </w:tcBorders>
            <w:shd w:val="clear" w:color="auto" w:fill="FFFFFF" w:themeFill="background1"/>
            <w:vAlign w:val="center"/>
          </w:tcPr>
          <w:p w14:paraId="39C1D566" w14:textId="77777777" w:rsidR="007561F6" w:rsidRPr="000F44B4" w:rsidRDefault="007561F6" w:rsidP="007561F6">
            <w:pPr>
              <w:spacing w:line="240" w:lineRule="auto"/>
              <w:jc w:val="center"/>
              <w:rPr>
                <w:rFonts w:cs="Times New Roman"/>
              </w:rPr>
            </w:pPr>
            <w:r w:rsidRPr="000F44B4">
              <w:rPr>
                <w:rFonts w:cs="Times New Roman"/>
              </w:rPr>
              <w:t>Duration [</w:t>
            </w:r>
            <w:r>
              <w:rPr>
                <w:rFonts w:cs="Times New Roman"/>
              </w:rPr>
              <w:t>95 % CI</w:t>
            </w:r>
            <w:r w:rsidRPr="000F44B4">
              <w:rPr>
                <w:rFonts w:cs="Times New Roman"/>
              </w:rPr>
              <w:t>] (days)</w:t>
            </w:r>
          </w:p>
        </w:tc>
        <w:tc>
          <w:tcPr>
            <w:tcW w:w="1800" w:type="dxa"/>
            <w:tcBorders>
              <w:bottom w:val="single" w:sz="4" w:space="0" w:color="auto"/>
            </w:tcBorders>
            <w:shd w:val="clear" w:color="auto" w:fill="FFFFFF" w:themeFill="background1"/>
            <w:vAlign w:val="center"/>
          </w:tcPr>
          <w:p w14:paraId="5C246FD0" w14:textId="77777777" w:rsidR="007561F6" w:rsidRPr="000F44B4" w:rsidRDefault="007561F6" w:rsidP="007561F6">
            <w:pPr>
              <w:spacing w:line="240" w:lineRule="auto"/>
              <w:jc w:val="center"/>
              <w:rPr>
                <w:rFonts w:cs="Times New Roman"/>
              </w:rPr>
            </w:pPr>
            <w:r w:rsidRPr="000F44B4">
              <w:rPr>
                <w:rFonts w:cs="Times New Roman"/>
              </w:rPr>
              <w:t>49 [39 – 68]</w:t>
            </w:r>
          </w:p>
        </w:tc>
        <w:tc>
          <w:tcPr>
            <w:tcW w:w="1710" w:type="dxa"/>
            <w:tcBorders>
              <w:bottom w:val="single" w:sz="4" w:space="0" w:color="auto"/>
            </w:tcBorders>
            <w:shd w:val="clear" w:color="auto" w:fill="FFFFFF" w:themeFill="background1"/>
            <w:vAlign w:val="center"/>
          </w:tcPr>
          <w:p w14:paraId="7CE25C85" w14:textId="77777777" w:rsidR="007561F6" w:rsidRPr="000F44B4" w:rsidRDefault="007561F6" w:rsidP="007561F6">
            <w:pPr>
              <w:spacing w:line="240" w:lineRule="auto"/>
              <w:jc w:val="center"/>
              <w:rPr>
                <w:rFonts w:cs="Times New Roman"/>
              </w:rPr>
            </w:pPr>
            <w:r w:rsidRPr="000F44B4">
              <w:rPr>
                <w:rFonts w:cs="Times New Roman"/>
              </w:rPr>
              <w:t>25 [21 – 31]</w:t>
            </w:r>
          </w:p>
        </w:tc>
        <w:tc>
          <w:tcPr>
            <w:tcW w:w="1980" w:type="dxa"/>
            <w:tcBorders>
              <w:bottom w:val="single" w:sz="4" w:space="0" w:color="auto"/>
            </w:tcBorders>
            <w:shd w:val="clear" w:color="auto" w:fill="FFFFFF" w:themeFill="background1"/>
            <w:vAlign w:val="center"/>
          </w:tcPr>
          <w:p w14:paraId="130451FB" w14:textId="77777777" w:rsidR="007561F6" w:rsidRPr="000F44B4" w:rsidRDefault="007561F6" w:rsidP="007561F6">
            <w:pPr>
              <w:spacing w:line="240" w:lineRule="auto"/>
              <w:jc w:val="center"/>
              <w:rPr>
                <w:rFonts w:cs="Times New Roman"/>
              </w:rPr>
            </w:pPr>
            <w:r w:rsidRPr="000F44B4">
              <w:rPr>
                <w:rFonts w:cs="Times New Roman"/>
              </w:rPr>
              <w:t>111 [87 – 151]</w:t>
            </w:r>
          </w:p>
        </w:tc>
        <w:tc>
          <w:tcPr>
            <w:tcW w:w="1620" w:type="dxa"/>
            <w:tcBorders>
              <w:bottom w:val="single" w:sz="4" w:space="0" w:color="auto"/>
            </w:tcBorders>
            <w:shd w:val="clear" w:color="auto" w:fill="FFFFFF" w:themeFill="background1"/>
            <w:vAlign w:val="center"/>
          </w:tcPr>
          <w:p w14:paraId="27C9C0CF" w14:textId="77777777" w:rsidR="007561F6" w:rsidRPr="000F44B4" w:rsidRDefault="007561F6" w:rsidP="007561F6">
            <w:pPr>
              <w:spacing w:line="240" w:lineRule="auto"/>
              <w:jc w:val="center"/>
              <w:rPr>
                <w:rFonts w:cs="Times New Roman"/>
              </w:rPr>
            </w:pPr>
            <w:r w:rsidRPr="000F44B4">
              <w:rPr>
                <w:rFonts w:cs="Times New Roman"/>
              </w:rPr>
              <w:t>83 [68 – 105]</w:t>
            </w:r>
          </w:p>
        </w:tc>
      </w:tr>
      <w:tr w:rsidR="007561F6" w:rsidRPr="000F44B4" w14:paraId="0D0CE897" w14:textId="77777777" w:rsidTr="00CF12B5">
        <w:tc>
          <w:tcPr>
            <w:tcW w:w="2250" w:type="dxa"/>
            <w:tcBorders>
              <w:top w:val="single" w:sz="4" w:space="0" w:color="auto"/>
            </w:tcBorders>
            <w:shd w:val="clear" w:color="auto" w:fill="FFFFFF" w:themeFill="background1"/>
            <w:vAlign w:val="center"/>
          </w:tcPr>
          <w:p w14:paraId="69E49AF9" w14:textId="77777777" w:rsidR="007561F6" w:rsidRPr="000F44B4" w:rsidRDefault="007561F6" w:rsidP="007561F6">
            <w:pPr>
              <w:spacing w:before="120" w:line="240" w:lineRule="auto"/>
              <w:jc w:val="center"/>
              <w:rPr>
                <w:rFonts w:cs="Times New Roman"/>
              </w:rPr>
            </w:pPr>
            <w:r w:rsidRPr="000F44B4">
              <w:rPr>
                <w:rFonts w:cs="Times New Roman"/>
              </w:rPr>
              <w:t>Season</w:t>
            </w:r>
            <w:r>
              <w:rPr>
                <w:rFonts w:cs="Times New Roman"/>
              </w:rPr>
              <w:t xml:space="preserve"> 3</w:t>
            </w:r>
          </w:p>
        </w:tc>
        <w:tc>
          <w:tcPr>
            <w:tcW w:w="1800" w:type="dxa"/>
            <w:tcBorders>
              <w:top w:val="single" w:sz="4" w:space="0" w:color="auto"/>
            </w:tcBorders>
            <w:shd w:val="clear" w:color="auto" w:fill="FFFFFF" w:themeFill="background1"/>
            <w:vAlign w:val="center"/>
          </w:tcPr>
          <w:p w14:paraId="021A206C" w14:textId="77777777" w:rsidR="007561F6" w:rsidRPr="000F44B4" w:rsidRDefault="007561F6" w:rsidP="007561F6">
            <w:pPr>
              <w:spacing w:before="120" w:line="240" w:lineRule="auto"/>
              <w:jc w:val="center"/>
              <w:rPr>
                <w:rFonts w:cs="Times New Roman"/>
              </w:rPr>
            </w:pPr>
            <w:r w:rsidRPr="000F44B4">
              <w:rPr>
                <w:rFonts w:cs="Times New Roman"/>
              </w:rPr>
              <w:t>Dry</w:t>
            </w:r>
          </w:p>
        </w:tc>
        <w:tc>
          <w:tcPr>
            <w:tcW w:w="1710" w:type="dxa"/>
            <w:tcBorders>
              <w:top w:val="single" w:sz="4" w:space="0" w:color="auto"/>
            </w:tcBorders>
            <w:shd w:val="clear" w:color="auto" w:fill="FFFFFF" w:themeFill="background1"/>
            <w:vAlign w:val="center"/>
          </w:tcPr>
          <w:p w14:paraId="3F5A912C" w14:textId="77777777" w:rsidR="007561F6" w:rsidRPr="000F44B4" w:rsidRDefault="007561F6" w:rsidP="007561F6">
            <w:pPr>
              <w:spacing w:before="120" w:line="240" w:lineRule="auto"/>
              <w:jc w:val="center"/>
              <w:rPr>
                <w:rFonts w:cs="Times New Roman"/>
              </w:rPr>
            </w:pPr>
            <w:r w:rsidRPr="000F44B4">
              <w:rPr>
                <w:rFonts w:cs="Times New Roman"/>
              </w:rPr>
              <w:t>Dry</w:t>
            </w:r>
          </w:p>
        </w:tc>
        <w:tc>
          <w:tcPr>
            <w:tcW w:w="1980" w:type="dxa"/>
            <w:tcBorders>
              <w:top w:val="single" w:sz="4" w:space="0" w:color="auto"/>
            </w:tcBorders>
            <w:shd w:val="clear" w:color="auto" w:fill="FFFFFF" w:themeFill="background1"/>
            <w:vAlign w:val="center"/>
          </w:tcPr>
          <w:p w14:paraId="108018D6" w14:textId="77777777" w:rsidR="007561F6" w:rsidRPr="000F44B4" w:rsidRDefault="007561F6" w:rsidP="007561F6">
            <w:pPr>
              <w:spacing w:before="120" w:line="240" w:lineRule="auto"/>
              <w:jc w:val="center"/>
              <w:rPr>
                <w:rFonts w:cs="Times New Roman"/>
              </w:rPr>
            </w:pPr>
            <w:r w:rsidRPr="000F44B4">
              <w:rPr>
                <w:rFonts w:cs="Times New Roman"/>
              </w:rPr>
              <w:t>Dry</w:t>
            </w:r>
          </w:p>
        </w:tc>
        <w:tc>
          <w:tcPr>
            <w:tcW w:w="1620" w:type="dxa"/>
            <w:tcBorders>
              <w:top w:val="single" w:sz="4" w:space="0" w:color="auto"/>
            </w:tcBorders>
            <w:shd w:val="clear" w:color="auto" w:fill="FFFFFF" w:themeFill="background1"/>
            <w:vAlign w:val="center"/>
          </w:tcPr>
          <w:p w14:paraId="1D4577AD" w14:textId="77777777" w:rsidR="007561F6" w:rsidRPr="000F44B4" w:rsidRDefault="007561F6" w:rsidP="007561F6">
            <w:pPr>
              <w:spacing w:before="120" w:line="240" w:lineRule="auto"/>
              <w:jc w:val="center"/>
              <w:rPr>
                <w:rFonts w:cs="Times New Roman"/>
              </w:rPr>
            </w:pPr>
            <w:r w:rsidRPr="000F44B4">
              <w:rPr>
                <w:rFonts w:cs="Times New Roman"/>
              </w:rPr>
              <w:t>Dry</w:t>
            </w:r>
          </w:p>
        </w:tc>
      </w:tr>
      <w:tr w:rsidR="007561F6" w:rsidRPr="000F44B4" w14:paraId="13BFBEB1" w14:textId="77777777" w:rsidTr="00CF12B5">
        <w:tc>
          <w:tcPr>
            <w:tcW w:w="2250" w:type="dxa"/>
            <w:shd w:val="clear" w:color="auto" w:fill="FFFFFF" w:themeFill="background1"/>
            <w:vAlign w:val="center"/>
          </w:tcPr>
          <w:p w14:paraId="434399EF" w14:textId="77777777" w:rsidR="007561F6" w:rsidRPr="000F44B4" w:rsidRDefault="007561F6" w:rsidP="007561F6">
            <w:pPr>
              <w:spacing w:line="240" w:lineRule="auto"/>
              <w:jc w:val="center"/>
              <w:rPr>
                <w:rFonts w:cs="Times New Roman"/>
              </w:rPr>
            </w:pPr>
            <w:r w:rsidRPr="000F44B4">
              <w:rPr>
                <w:rFonts w:cs="Times New Roman"/>
                <w:szCs w:val="24"/>
              </w:rPr>
              <w:t>Δ</w:t>
            </w:r>
            <w:r w:rsidRPr="000F44B4">
              <w:rPr>
                <w:rFonts w:cs="Times New Roman"/>
                <w:szCs w:val="24"/>
                <w:vertAlign w:val="superscript"/>
              </w:rPr>
              <w:t>18</w:t>
            </w:r>
            <w:r w:rsidRPr="000F44B4">
              <w:rPr>
                <w:rFonts w:cs="Times New Roman"/>
                <w:szCs w:val="24"/>
              </w:rPr>
              <w:t>O</w:t>
            </w:r>
            <w:r w:rsidRPr="000F44B4">
              <w:rPr>
                <w:rFonts w:cs="Times New Roman"/>
              </w:rPr>
              <w:t xml:space="preserve"> (‰)</w:t>
            </w:r>
          </w:p>
        </w:tc>
        <w:tc>
          <w:tcPr>
            <w:tcW w:w="1800" w:type="dxa"/>
            <w:shd w:val="clear" w:color="auto" w:fill="FFFFFF" w:themeFill="background1"/>
            <w:vAlign w:val="center"/>
          </w:tcPr>
          <w:p w14:paraId="13753EB1" w14:textId="77777777" w:rsidR="007561F6" w:rsidRPr="000F44B4" w:rsidRDefault="007561F6" w:rsidP="007561F6">
            <w:pPr>
              <w:spacing w:line="240" w:lineRule="auto"/>
              <w:jc w:val="center"/>
              <w:rPr>
                <w:rFonts w:cs="Times New Roman"/>
              </w:rPr>
            </w:pPr>
            <w:r w:rsidRPr="000F44B4">
              <w:rPr>
                <w:rFonts w:cs="Times New Roman"/>
              </w:rPr>
              <w:t>+3.0</w:t>
            </w:r>
          </w:p>
        </w:tc>
        <w:tc>
          <w:tcPr>
            <w:tcW w:w="1710" w:type="dxa"/>
            <w:shd w:val="clear" w:color="auto" w:fill="FFFFFF" w:themeFill="background1"/>
            <w:vAlign w:val="center"/>
          </w:tcPr>
          <w:p w14:paraId="13F2D01D" w14:textId="77777777" w:rsidR="007561F6" w:rsidRPr="000F44B4" w:rsidRDefault="007561F6" w:rsidP="007561F6">
            <w:pPr>
              <w:spacing w:line="240" w:lineRule="auto"/>
              <w:jc w:val="center"/>
              <w:rPr>
                <w:rFonts w:cs="Times New Roman"/>
              </w:rPr>
            </w:pPr>
            <w:r w:rsidRPr="000F44B4">
              <w:rPr>
                <w:rFonts w:cs="Times New Roman"/>
              </w:rPr>
              <w:t>+1.6</w:t>
            </w:r>
          </w:p>
        </w:tc>
        <w:tc>
          <w:tcPr>
            <w:tcW w:w="1980" w:type="dxa"/>
            <w:shd w:val="clear" w:color="auto" w:fill="FFFFFF" w:themeFill="background1"/>
            <w:vAlign w:val="center"/>
          </w:tcPr>
          <w:p w14:paraId="6526AAC5" w14:textId="77777777" w:rsidR="007561F6" w:rsidRPr="002F64FB" w:rsidRDefault="007561F6" w:rsidP="007561F6">
            <w:pPr>
              <w:spacing w:line="240" w:lineRule="auto"/>
              <w:jc w:val="center"/>
              <w:rPr>
                <w:rFonts w:cs="Times New Roman"/>
                <w:b/>
                <w:bCs/>
              </w:rPr>
            </w:pPr>
            <w:r w:rsidRPr="002F64FB">
              <w:rPr>
                <w:rFonts w:cs="Times New Roman"/>
                <w:b/>
                <w:bCs/>
              </w:rPr>
              <w:t>+5.3</w:t>
            </w:r>
          </w:p>
        </w:tc>
        <w:tc>
          <w:tcPr>
            <w:tcW w:w="1620" w:type="dxa"/>
            <w:shd w:val="clear" w:color="auto" w:fill="FFFFFF" w:themeFill="background1"/>
            <w:vAlign w:val="center"/>
          </w:tcPr>
          <w:p w14:paraId="1772374A" w14:textId="77777777" w:rsidR="007561F6" w:rsidRPr="0066134A" w:rsidRDefault="007561F6" w:rsidP="007561F6">
            <w:pPr>
              <w:spacing w:line="240" w:lineRule="auto"/>
              <w:jc w:val="center"/>
              <w:rPr>
                <w:rFonts w:cs="Times New Roman"/>
                <w:b/>
              </w:rPr>
            </w:pPr>
            <w:r w:rsidRPr="0066134A">
              <w:rPr>
                <w:rFonts w:cs="Times New Roman"/>
                <w:b/>
              </w:rPr>
              <w:t>+3.5</w:t>
            </w:r>
          </w:p>
        </w:tc>
      </w:tr>
      <w:tr w:rsidR="007561F6" w:rsidRPr="000F44B4" w14:paraId="787D407B" w14:textId="77777777" w:rsidTr="00CF12B5">
        <w:tc>
          <w:tcPr>
            <w:tcW w:w="2250" w:type="dxa"/>
            <w:tcBorders>
              <w:bottom w:val="single" w:sz="4" w:space="0" w:color="auto"/>
            </w:tcBorders>
            <w:shd w:val="clear" w:color="auto" w:fill="FFFFFF" w:themeFill="background1"/>
            <w:vAlign w:val="center"/>
          </w:tcPr>
          <w:p w14:paraId="3E03579B" w14:textId="77777777" w:rsidR="007561F6" w:rsidRPr="000F44B4" w:rsidRDefault="007561F6" w:rsidP="007561F6">
            <w:pPr>
              <w:spacing w:line="240" w:lineRule="auto"/>
              <w:jc w:val="center"/>
              <w:rPr>
                <w:rFonts w:cs="Times New Roman"/>
              </w:rPr>
            </w:pPr>
            <w:r w:rsidRPr="000F44B4">
              <w:rPr>
                <w:rFonts w:cs="Times New Roman"/>
              </w:rPr>
              <w:t>Duration [</w:t>
            </w:r>
            <w:r>
              <w:rPr>
                <w:rFonts w:cs="Times New Roman"/>
              </w:rPr>
              <w:t>95 % CI</w:t>
            </w:r>
            <w:r w:rsidRPr="000F44B4">
              <w:rPr>
                <w:rFonts w:cs="Times New Roman"/>
              </w:rPr>
              <w:t>] (days)</w:t>
            </w:r>
          </w:p>
        </w:tc>
        <w:tc>
          <w:tcPr>
            <w:tcW w:w="1800" w:type="dxa"/>
            <w:tcBorders>
              <w:bottom w:val="single" w:sz="4" w:space="0" w:color="auto"/>
            </w:tcBorders>
            <w:shd w:val="clear" w:color="auto" w:fill="FFFFFF" w:themeFill="background1"/>
            <w:vAlign w:val="center"/>
          </w:tcPr>
          <w:p w14:paraId="21449DD7" w14:textId="77777777" w:rsidR="007561F6" w:rsidRPr="000F44B4" w:rsidRDefault="007561F6" w:rsidP="007561F6">
            <w:pPr>
              <w:spacing w:line="240" w:lineRule="auto"/>
              <w:jc w:val="center"/>
              <w:rPr>
                <w:rFonts w:cs="Times New Roman"/>
              </w:rPr>
            </w:pPr>
            <w:r w:rsidRPr="000F44B4">
              <w:rPr>
                <w:rFonts w:cs="Times New Roman"/>
              </w:rPr>
              <w:t>48 [37 – 66]</w:t>
            </w:r>
          </w:p>
        </w:tc>
        <w:tc>
          <w:tcPr>
            <w:tcW w:w="1710" w:type="dxa"/>
            <w:tcBorders>
              <w:bottom w:val="single" w:sz="4" w:space="0" w:color="auto"/>
            </w:tcBorders>
            <w:shd w:val="clear" w:color="auto" w:fill="FFFFFF" w:themeFill="background1"/>
            <w:vAlign w:val="center"/>
          </w:tcPr>
          <w:p w14:paraId="60681459" w14:textId="77777777" w:rsidR="007561F6" w:rsidRPr="000F44B4" w:rsidRDefault="007561F6" w:rsidP="007561F6">
            <w:pPr>
              <w:spacing w:line="240" w:lineRule="auto"/>
              <w:jc w:val="center"/>
              <w:rPr>
                <w:rFonts w:cs="Times New Roman"/>
              </w:rPr>
            </w:pPr>
            <w:r w:rsidRPr="000F44B4">
              <w:rPr>
                <w:rFonts w:cs="Times New Roman"/>
              </w:rPr>
              <w:t>76 [64 – 95]</w:t>
            </w:r>
          </w:p>
        </w:tc>
        <w:tc>
          <w:tcPr>
            <w:tcW w:w="1980" w:type="dxa"/>
            <w:tcBorders>
              <w:bottom w:val="single" w:sz="4" w:space="0" w:color="auto"/>
            </w:tcBorders>
            <w:shd w:val="clear" w:color="auto" w:fill="FFFFFF" w:themeFill="background1"/>
            <w:vAlign w:val="center"/>
          </w:tcPr>
          <w:p w14:paraId="13E192F8" w14:textId="77777777" w:rsidR="007561F6" w:rsidRPr="00872961" w:rsidRDefault="007561F6" w:rsidP="007561F6">
            <w:pPr>
              <w:spacing w:line="240" w:lineRule="auto"/>
              <w:jc w:val="center"/>
              <w:rPr>
                <w:rFonts w:cs="Times New Roman"/>
                <w:b/>
              </w:rPr>
            </w:pPr>
            <w:r w:rsidRPr="00872961">
              <w:rPr>
                <w:rFonts w:cs="Times New Roman"/>
                <w:b/>
              </w:rPr>
              <w:t>124 [97 – 172]</w:t>
            </w:r>
          </w:p>
        </w:tc>
        <w:tc>
          <w:tcPr>
            <w:tcW w:w="1620" w:type="dxa"/>
            <w:tcBorders>
              <w:bottom w:val="single" w:sz="4" w:space="0" w:color="auto"/>
            </w:tcBorders>
            <w:shd w:val="clear" w:color="auto" w:fill="FFFFFF" w:themeFill="background1"/>
            <w:vAlign w:val="center"/>
          </w:tcPr>
          <w:p w14:paraId="4FCFF881" w14:textId="77777777" w:rsidR="007561F6" w:rsidRPr="00872961" w:rsidRDefault="007561F6" w:rsidP="007561F6">
            <w:pPr>
              <w:spacing w:line="240" w:lineRule="auto"/>
              <w:jc w:val="center"/>
              <w:rPr>
                <w:rFonts w:cs="Times New Roman"/>
                <w:b/>
              </w:rPr>
            </w:pPr>
            <w:r w:rsidRPr="00872961">
              <w:rPr>
                <w:rFonts w:cs="Times New Roman"/>
                <w:b/>
              </w:rPr>
              <w:t>120 [96 – 159]</w:t>
            </w:r>
          </w:p>
        </w:tc>
      </w:tr>
      <w:tr w:rsidR="007561F6" w:rsidRPr="000F44B4" w14:paraId="757E7477" w14:textId="77777777" w:rsidTr="00CF12B5">
        <w:tc>
          <w:tcPr>
            <w:tcW w:w="2250" w:type="dxa"/>
            <w:tcBorders>
              <w:top w:val="single" w:sz="4" w:space="0" w:color="auto"/>
            </w:tcBorders>
            <w:shd w:val="clear" w:color="auto" w:fill="FFFFFF" w:themeFill="background1"/>
            <w:vAlign w:val="center"/>
          </w:tcPr>
          <w:p w14:paraId="781FA3CB" w14:textId="77777777" w:rsidR="007561F6" w:rsidRPr="000F44B4" w:rsidRDefault="007561F6" w:rsidP="007561F6">
            <w:pPr>
              <w:spacing w:before="120" w:line="240" w:lineRule="auto"/>
              <w:jc w:val="center"/>
              <w:rPr>
                <w:rFonts w:cs="Times New Roman"/>
              </w:rPr>
            </w:pPr>
            <w:r w:rsidRPr="000F44B4">
              <w:rPr>
                <w:rFonts w:cs="Times New Roman"/>
              </w:rPr>
              <w:t>Season</w:t>
            </w:r>
            <w:r>
              <w:rPr>
                <w:rFonts w:cs="Times New Roman"/>
              </w:rPr>
              <w:t xml:space="preserve"> 4</w:t>
            </w:r>
          </w:p>
        </w:tc>
        <w:tc>
          <w:tcPr>
            <w:tcW w:w="1800" w:type="dxa"/>
            <w:tcBorders>
              <w:top w:val="single" w:sz="4" w:space="0" w:color="auto"/>
            </w:tcBorders>
            <w:shd w:val="clear" w:color="auto" w:fill="FFFFFF" w:themeFill="background1"/>
            <w:vAlign w:val="center"/>
          </w:tcPr>
          <w:p w14:paraId="70DB9F59" w14:textId="77777777" w:rsidR="007561F6" w:rsidRPr="000F44B4" w:rsidRDefault="007561F6" w:rsidP="007561F6">
            <w:pPr>
              <w:spacing w:before="120" w:line="240" w:lineRule="auto"/>
              <w:jc w:val="center"/>
              <w:rPr>
                <w:rFonts w:cs="Times New Roman"/>
              </w:rPr>
            </w:pPr>
            <w:r w:rsidRPr="000F44B4">
              <w:rPr>
                <w:rFonts w:cs="Times New Roman"/>
              </w:rPr>
              <w:t>Rainy</w:t>
            </w:r>
          </w:p>
        </w:tc>
        <w:tc>
          <w:tcPr>
            <w:tcW w:w="1710" w:type="dxa"/>
            <w:tcBorders>
              <w:top w:val="single" w:sz="4" w:space="0" w:color="auto"/>
            </w:tcBorders>
            <w:shd w:val="clear" w:color="auto" w:fill="FFFFFF" w:themeFill="background1"/>
            <w:vAlign w:val="center"/>
          </w:tcPr>
          <w:p w14:paraId="347D1C3C" w14:textId="77777777" w:rsidR="007561F6" w:rsidRPr="000F44B4" w:rsidRDefault="007561F6" w:rsidP="007561F6">
            <w:pPr>
              <w:spacing w:before="120" w:line="240" w:lineRule="auto"/>
              <w:jc w:val="center"/>
              <w:rPr>
                <w:rFonts w:cs="Times New Roman"/>
              </w:rPr>
            </w:pPr>
            <w:r w:rsidRPr="000F44B4">
              <w:rPr>
                <w:rFonts w:cs="Times New Roman"/>
              </w:rPr>
              <w:t>Rainy</w:t>
            </w:r>
          </w:p>
        </w:tc>
        <w:tc>
          <w:tcPr>
            <w:tcW w:w="1980" w:type="dxa"/>
            <w:tcBorders>
              <w:top w:val="single" w:sz="4" w:space="0" w:color="auto"/>
            </w:tcBorders>
            <w:shd w:val="clear" w:color="auto" w:fill="FFFFFF" w:themeFill="background1"/>
            <w:vAlign w:val="center"/>
          </w:tcPr>
          <w:p w14:paraId="3EB0E9DC" w14:textId="77777777" w:rsidR="007561F6" w:rsidRPr="000F44B4" w:rsidRDefault="007561F6" w:rsidP="007561F6">
            <w:pPr>
              <w:spacing w:before="120" w:line="240" w:lineRule="auto"/>
              <w:jc w:val="center"/>
              <w:rPr>
                <w:rFonts w:cs="Times New Roman"/>
              </w:rPr>
            </w:pPr>
            <w:r w:rsidRPr="000F44B4">
              <w:rPr>
                <w:rFonts w:cs="Times New Roman"/>
              </w:rPr>
              <w:t>Rainy</w:t>
            </w:r>
          </w:p>
        </w:tc>
        <w:tc>
          <w:tcPr>
            <w:tcW w:w="1620" w:type="dxa"/>
            <w:tcBorders>
              <w:top w:val="single" w:sz="4" w:space="0" w:color="auto"/>
            </w:tcBorders>
            <w:shd w:val="clear" w:color="auto" w:fill="FFFFFF" w:themeFill="background1"/>
            <w:vAlign w:val="center"/>
          </w:tcPr>
          <w:p w14:paraId="24088260" w14:textId="77777777" w:rsidR="007561F6" w:rsidRPr="000F44B4" w:rsidRDefault="007561F6" w:rsidP="007561F6">
            <w:pPr>
              <w:spacing w:before="120" w:line="240" w:lineRule="auto"/>
              <w:jc w:val="center"/>
              <w:rPr>
                <w:rFonts w:cs="Times New Roman"/>
              </w:rPr>
            </w:pPr>
            <w:r w:rsidRPr="000F44B4">
              <w:rPr>
                <w:rFonts w:cs="Times New Roman"/>
              </w:rPr>
              <w:t>Rainy</w:t>
            </w:r>
          </w:p>
        </w:tc>
      </w:tr>
      <w:tr w:rsidR="007561F6" w:rsidRPr="000F44B4" w14:paraId="7A48AB5A" w14:textId="77777777" w:rsidTr="00CF12B5">
        <w:tc>
          <w:tcPr>
            <w:tcW w:w="2250" w:type="dxa"/>
            <w:shd w:val="clear" w:color="auto" w:fill="FFFFFF" w:themeFill="background1"/>
            <w:vAlign w:val="center"/>
          </w:tcPr>
          <w:p w14:paraId="0F46E009" w14:textId="77777777" w:rsidR="007561F6" w:rsidRPr="000F44B4" w:rsidRDefault="007561F6" w:rsidP="007561F6">
            <w:pPr>
              <w:spacing w:line="240" w:lineRule="auto"/>
              <w:jc w:val="center"/>
              <w:rPr>
                <w:rFonts w:cs="Times New Roman"/>
              </w:rPr>
            </w:pPr>
            <w:r w:rsidRPr="000F44B4">
              <w:rPr>
                <w:rFonts w:cs="Times New Roman"/>
                <w:szCs w:val="24"/>
              </w:rPr>
              <w:t>Δ</w:t>
            </w:r>
            <w:r w:rsidRPr="000F44B4">
              <w:rPr>
                <w:rFonts w:cs="Times New Roman"/>
                <w:szCs w:val="24"/>
                <w:vertAlign w:val="superscript"/>
              </w:rPr>
              <w:t>18</w:t>
            </w:r>
            <w:r w:rsidRPr="000F44B4">
              <w:rPr>
                <w:rFonts w:cs="Times New Roman"/>
                <w:szCs w:val="24"/>
              </w:rPr>
              <w:t>O</w:t>
            </w:r>
            <w:r w:rsidRPr="000F44B4">
              <w:rPr>
                <w:rFonts w:cs="Times New Roman"/>
              </w:rPr>
              <w:t xml:space="preserve"> (‰)</w:t>
            </w:r>
          </w:p>
        </w:tc>
        <w:tc>
          <w:tcPr>
            <w:tcW w:w="1800" w:type="dxa"/>
            <w:shd w:val="clear" w:color="auto" w:fill="FFFFFF" w:themeFill="background1"/>
            <w:vAlign w:val="center"/>
          </w:tcPr>
          <w:p w14:paraId="2D0D74D7" w14:textId="39E4933C" w:rsidR="007561F6" w:rsidRPr="000F44B4" w:rsidRDefault="003C4D91" w:rsidP="007561F6">
            <w:pPr>
              <w:spacing w:line="240" w:lineRule="auto"/>
              <w:jc w:val="center"/>
              <w:rPr>
                <w:rFonts w:cs="Times New Roman"/>
              </w:rPr>
            </w:pPr>
            <w:r>
              <w:rPr>
                <w:rFonts w:cs="Times New Roman"/>
              </w:rPr>
              <w:t>−</w:t>
            </w:r>
            <w:r w:rsidR="007561F6" w:rsidRPr="000F44B4">
              <w:rPr>
                <w:rFonts w:cs="Times New Roman"/>
              </w:rPr>
              <w:t>2.5</w:t>
            </w:r>
          </w:p>
        </w:tc>
        <w:tc>
          <w:tcPr>
            <w:tcW w:w="1710" w:type="dxa"/>
            <w:shd w:val="clear" w:color="auto" w:fill="FFFFFF" w:themeFill="background1"/>
            <w:vAlign w:val="center"/>
          </w:tcPr>
          <w:p w14:paraId="78481F17" w14:textId="10F12743" w:rsidR="007561F6" w:rsidRPr="000F44B4" w:rsidRDefault="003C4D91" w:rsidP="007561F6">
            <w:pPr>
              <w:spacing w:line="240" w:lineRule="auto"/>
              <w:jc w:val="center"/>
              <w:rPr>
                <w:rFonts w:cs="Times New Roman"/>
              </w:rPr>
            </w:pPr>
            <w:r>
              <w:rPr>
                <w:rFonts w:cs="Times New Roman"/>
              </w:rPr>
              <w:t>−</w:t>
            </w:r>
            <w:r w:rsidR="007561F6" w:rsidRPr="000F44B4">
              <w:rPr>
                <w:rFonts w:cs="Times New Roman"/>
              </w:rPr>
              <w:t>0.8</w:t>
            </w:r>
          </w:p>
        </w:tc>
        <w:tc>
          <w:tcPr>
            <w:tcW w:w="1980" w:type="dxa"/>
            <w:shd w:val="clear" w:color="auto" w:fill="FFFFFF" w:themeFill="background1"/>
            <w:vAlign w:val="center"/>
          </w:tcPr>
          <w:p w14:paraId="01DD9E09" w14:textId="0E7BED3D" w:rsidR="007561F6" w:rsidRPr="000F44B4" w:rsidRDefault="003C4D91" w:rsidP="007561F6">
            <w:pPr>
              <w:spacing w:line="240" w:lineRule="auto"/>
              <w:jc w:val="center"/>
              <w:rPr>
                <w:rFonts w:cs="Times New Roman"/>
              </w:rPr>
            </w:pPr>
            <w:r>
              <w:rPr>
                <w:rFonts w:cs="Times New Roman"/>
              </w:rPr>
              <w:t>−</w:t>
            </w:r>
            <w:r w:rsidR="007561F6" w:rsidRPr="000F44B4">
              <w:rPr>
                <w:rFonts w:cs="Times New Roman"/>
              </w:rPr>
              <w:t>2.7</w:t>
            </w:r>
          </w:p>
        </w:tc>
        <w:tc>
          <w:tcPr>
            <w:tcW w:w="1620" w:type="dxa"/>
            <w:shd w:val="clear" w:color="auto" w:fill="FFFFFF" w:themeFill="background1"/>
            <w:vAlign w:val="center"/>
          </w:tcPr>
          <w:p w14:paraId="2E04694E" w14:textId="434903F8" w:rsidR="007561F6" w:rsidRPr="000F44B4" w:rsidRDefault="003C4D91" w:rsidP="007561F6">
            <w:pPr>
              <w:spacing w:line="240" w:lineRule="auto"/>
              <w:jc w:val="center"/>
              <w:rPr>
                <w:rFonts w:cs="Times New Roman"/>
              </w:rPr>
            </w:pPr>
            <w:r>
              <w:rPr>
                <w:rFonts w:cs="Times New Roman"/>
              </w:rPr>
              <w:t>−</w:t>
            </w:r>
            <w:r w:rsidR="007561F6" w:rsidRPr="000F44B4">
              <w:rPr>
                <w:rFonts w:cs="Times New Roman"/>
              </w:rPr>
              <w:t>1.0</w:t>
            </w:r>
          </w:p>
        </w:tc>
      </w:tr>
      <w:tr w:rsidR="007561F6" w:rsidRPr="000F44B4" w14:paraId="646356C7" w14:textId="77777777" w:rsidTr="00CF12B5">
        <w:tc>
          <w:tcPr>
            <w:tcW w:w="2250" w:type="dxa"/>
            <w:tcBorders>
              <w:bottom w:val="single" w:sz="4" w:space="0" w:color="auto"/>
            </w:tcBorders>
            <w:shd w:val="clear" w:color="auto" w:fill="FFFFFF" w:themeFill="background1"/>
            <w:vAlign w:val="center"/>
          </w:tcPr>
          <w:p w14:paraId="50E2A09E" w14:textId="77777777" w:rsidR="007561F6" w:rsidRPr="000F44B4" w:rsidRDefault="007561F6" w:rsidP="007561F6">
            <w:pPr>
              <w:spacing w:line="240" w:lineRule="auto"/>
              <w:jc w:val="center"/>
              <w:rPr>
                <w:rFonts w:cs="Times New Roman"/>
              </w:rPr>
            </w:pPr>
            <w:r w:rsidRPr="000F44B4">
              <w:rPr>
                <w:rFonts w:cs="Times New Roman"/>
              </w:rPr>
              <w:t>Duration [</w:t>
            </w:r>
            <w:r>
              <w:rPr>
                <w:rFonts w:cs="Times New Roman"/>
              </w:rPr>
              <w:t>95 % CI</w:t>
            </w:r>
            <w:r w:rsidRPr="000F44B4">
              <w:rPr>
                <w:rFonts w:cs="Times New Roman"/>
              </w:rPr>
              <w:t>] (days)</w:t>
            </w:r>
          </w:p>
        </w:tc>
        <w:tc>
          <w:tcPr>
            <w:tcW w:w="1800" w:type="dxa"/>
            <w:tcBorders>
              <w:bottom w:val="single" w:sz="4" w:space="0" w:color="auto"/>
            </w:tcBorders>
            <w:shd w:val="clear" w:color="auto" w:fill="FFFFFF" w:themeFill="background1"/>
            <w:vAlign w:val="center"/>
          </w:tcPr>
          <w:p w14:paraId="2138B03B" w14:textId="77777777" w:rsidR="007561F6" w:rsidRPr="000F44B4" w:rsidRDefault="007561F6" w:rsidP="007561F6">
            <w:pPr>
              <w:spacing w:line="240" w:lineRule="auto"/>
              <w:jc w:val="center"/>
              <w:rPr>
                <w:rFonts w:cs="Times New Roman"/>
              </w:rPr>
            </w:pPr>
            <w:r w:rsidRPr="000F44B4">
              <w:rPr>
                <w:rFonts w:cs="Times New Roman"/>
              </w:rPr>
              <w:t>83 [65 – 117]</w:t>
            </w:r>
          </w:p>
        </w:tc>
        <w:tc>
          <w:tcPr>
            <w:tcW w:w="1710" w:type="dxa"/>
            <w:tcBorders>
              <w:bottom w:val="single" w:sz="4" w:space="0" w:color="auto"/>
            </w:tcBorders>
            <w:shd w:val="clear" w:color="auto" w:fill="FFFFFF" w:themeFill="background1"/>
            <w:vAlign w:val="center"/>
          </w:tcPr>
          <w:p w14:paraId="16CD9151" w14:textId="77777777" w:rsidR="007561F6" w:rsidRPr="000F44B4" w:rsidRDefault="007561F6" w:rsidP="007561F6">
            <w:pPr>
              <w:spacing w:line="240" w:lineRule="auto"/>
              <w:jc w:val="center"/>
              <w:rPr>
                <w:rFonts w:cs="Times New Roman"/>
              </w:rPr>
            </w:pPr>
            <w:r w:rsidRPr="000F44B4">
              <w:rPr>
                <w:rFonts w:cs="Times New Roman"/>
              </w:rPr>
              <w:t>56 [46 – 72]</w:t>
            </w:r>
          </w:p>
        </w:tc>
        <w:tc>
          <w:tcPr>
            <w:tcW w:w="1980" w:type="dxa"/>
            <w:tcBorders>
              <w:bottom w:val="single" w:sz="4" w:space="0" w:color="auto"/>
            </w:tcBorders>
            <w:shd w:val="clear" w:color="auto" w:fill="FFFFFF" w:themeFill="background1"/>
            <w:vAlign w:val="center"/>
          </w:tcPr>
          <w:p w14:paraId="674C87A5" w14:textId="77777777" w:rsidR="007561F6" w:rsidRPr="000F44B4" w:rsidRDefault="007561F6" w:rsidP="007561F6">
            <w:pPr>
              <w:spacing w:line="240" w:lineRule="auto"/>
              <w:jc w:val="center"/>
              <w:rPr>
                <w:rFonts w:cs="Times New Roman"/>
              </w:rPr>
            </w:pPr>
            <w:r w:rsidRPr="000F44B4">
              <w:rPr>
                <w:rFonts w:cs="Times New Roman"/>
              </w:rPr>
              <w:t>42 [33 – 59]</w:t>
            </w:r>
          </w:p>
        </w:tc>
        <w:tc>
          <w:tcPr>
            <w:tcW w:w="1620" w:type="dxa"/>
            <w:tcBorders>
              <w:bottom w:val="single" w:sz="4" w:space="0" w:color="auto"/>
            </w:tcBorders>
            <w:shd w:val="clear" w:color="auto" w:fill="FFFFFF" w:themeFill="background1"/>
            <w:vAlign w:val="center"/>
          </w:tcPr>
          <w:p w14:paraId="7DFCC01F" w14:textId="77777777" w:rsidR="007561F6" w:rsidRPr="000F44B4" w:rsidRDefault="007561F6" w:rsidP="007561F6">
            <w:pPr>
              <w:spacing w:line="240" w:lineRule="auto"/>
              <w:jc w:val="center"/>
              <w:rPr>
                <w:rFonts w:cs="Times New Roman"/>
              </w:rPr>
            </w:pPr>
            <w:r w:rsidRPr="000F44B4">
              <w:rPr>
                <w:rFonts w:cs="Times New Roman"/>
              </w:rPr>
              <w:t>75 [57 –111]</w:t>
            </w:r>
          </w:p>
        </w:tc>
      </w:tr>
      <w:tr w:rsidR="007561F6" w:rsidRPr="000F44B4" w14:paraId="534EC580" w14:textId="77777777" w:rsidTr="00CF12B5">
        <w:tc>
          <w:tcPr>
            <w:tcW w:w="2250" w:type="dxa"/>
            <w:tcBorders>
              <w:top w:val="single" w:sz="4" w:space="0" w:color="auto"/>
            </w:tcBorders>
            <w:shd w:val="clear" w:color="auto" w:fill="FFFFFF" w:themeFill="background1"/>
            <w:vAlign w:val="center"/>
          </w:tcPr>
          <w:p w14:paraId="5204F153" w14:textId="77777777" w:rsidR="007561F6" w:rsidRPr="000F44B4" w:rsidRDefault="007561F6" w:rsidP="007561F6">
            <w:pPr>
              <w:spacing w:before="120" w:line="240" w:lineRule="auto"/>
              <w:jc w:val="center"/>
              <w:rPr>
                <w:rFonts w:cs="Times New Roman"/>
              </w:rPr>
            </w:pPr>
            <w:r w:rsidRPr="000F44B4">
              <w:rPr>
                <w:rFonts w:cs="Times New Roman"/>
              </w:rPr>
              <w:t>Season</w:t>
            </w:r>
            <w:r>
              <w:rPr>
                <w:rFonts w:cs="Times New Roman"/>
              </w:rPr>
              <w:t xml:space="preserve"> 5</w:t>
            </w:r>
          </w:p>
        </w:tc>
        <w:tc>
          <w:tcPr>
            <w:tcW w:w="1800" w:type="dxa"/>
            <w:tcBorders>
              <w:top w:val="single" w:sz="4" w:space="0" w:color="auto"/>
            </w:tcBorders>
            <w:shd w:val="clear" w:color="auto" w:fill="FFFFFF" w:themeFill="background1"/>
            <w:vAlign w:val="center"/>
          </w:tcPr>
          <w:p w14:paraId="22AADF9C" w14:textId="77777777" w:rsidR="007561F6" w:rsidRPr="000F44B4" w:rsidRDefault="007561F6" w:rsidP="007561F6">
            <w:pPr>
              <w:spacing w:before="120" w:line="240" w:lineRule="auto"/>
              <w:jc w:val="center"/>
              <w:rPr>
                <w:rFonts w:cs="Times New Roman"/>
              </w:rPr>
            </w:pPr>
            <w:r w:rsidRPr="000F44B4">
              <w:rPr>
                <w:rFonts w:cs="Times New Roman"/>
              </w:rPr>
              <w:t>-</w:t>
            </w:r>
          </w:p>
        </w:tc>
        <w:tc>
          <w:tcPr>
            <w:tcW w:w="1710" w:type="dxa"/>
            <w:tcBorders>
              <w:top w:val="single" w:sz="4" w:space="0" w:color="auto"/>
            </w:tcBorders>
            <w:shd w:val="clear" w:color="auto" w:fill="FFFFFF" w:themeFill="background1"/>
            <w:vAlign w:val="center"/>
          </w:tcPr>
          <w:p w14:paraId="10513113" w14:textId="77777777" w:rsidR="007561F6" w:rsidRPr="000F44B4" w:rsidRDefault="007561F6" w:rsidP="007561F6">
            <w:pPr>
              <w:spacing w:before="120" w:line="240" w:lineRule="auto"/>
              <w:jc w:val="center"/>
              <w:rPr>
                <w:rFonts w:cs="Times New Roman"/>
              </w:rPr>
            </w:pPr>
            <w:r w:rsidRPr="000F44B4">
              <w:rPr>
                <w:rFonts w:cs="Times New Roman"/>
              </w:rPr>
              <w:t>-</w:t>
            </w:r>
          </w:p>
        </w:tc>
        <w:tc>
          <w:tcPr>
            <w:tcW w:w="1980" w:type="dxa"/>
            <w:tcBorders>
              <w:top w:val="single" w:sz="4" w:space="0" w:color="auto"/>
            </w:tcBorders>
            <w:shd w:val="clear" w:color="auto" w:fill="FFFFFF" w:themeFill="background1"/>
            <w:vAlign w:val="center"/>
          </w:tcPr>
          <w:p w14:paraId="15D471BC" w14:textId="77777777" w:rsidR="007561F6" w:rsidRPr="000F44B4" w:rsidRDefault="007561F6" w:rsidP="007561F6">
            <w:pPr>
              <w:spacing w:before="120" w:line="240" w:lineRule="auto"/>
              <w:jc w:val="center"/>
              <w:rPr>
                <w:rFonts w:cs="Times New Roman"/>
              </w:rPr>
            </w:pPr>
            <w:r w:rsidRPr="000F44B4">
              <w:rPr>
                <w:rFonts w:cs="Times New Roman"/>
              </w:rPr>
              <w:t>Dry</w:t>
            </w:r>
          </w:p>
        </w:tc>
        <w:tc>
          <w:tcPr>
            <w:tcW w:w="1620" w:type="dxa"/>
            <w:tcBorders>
              <w:top w:val="single" w:sz="4" w:space="0" w:color="auto"/>
            </w:tcBorders>
            <w:shd w:val="clear" w:color="auto" w:fill="FFFFFF" w:themeFill="background1"/>
            <w:vAlign w:val="center"/>
          </w:tcPr>
          <w:p w14:paraId="121BE5E2" w14:textId="77777777" w:rsidR="007561F6" w:rsidRPr="000F44B4" w:rsidRDefault="007561F6" w:rsidP="007561F6">
            <w:pPr>
              <w:spacing w:before="120" w:line="240" w:lineRule="auto"/>
              <w:jc w:val="center"/>
              <w:rPr>
                <w:rFonts w:cs="Times New Roman"/>
              </w:rPr>
            </w:pPr>
            <w:r w:rsidRPr="000F44B4">
              <w:rPr>
                <w:rFonts w:cs="Times New Roman"/>
              </w:rPr>
              <w:t>Dry</w:t>
            </w:r>
          </w:p>
        </w:tc>
      </w:tr>
      <w:tr w:rsidR="007561F6" w:rsidRPr="000F44B4" w14:paraId="13A98EBA" w14:textId="77777777" w:rsidTr="00CF12B5">
        <w:tc>
          <w:tcPr>
            <w:tcW w:w="2250" w:type="dxa"/>
            <w:shd w:val="clear" w:color="auto" w:fill="FFFFFF" w:themeFill="background1"/>
            <w:vAlign w:val="center"/>
          </w:tcPr>
          <w:p w14:paraId="0FFB9466" w14:textId="77777777" w:rsidR="007561F6" w:rsidRPr="000F44B4" w:rsidRDefault="007561F6" w:rsidP="007561F6">
            <w:pPr>
              <w:spacing w:line="240" w:lineRule="auto"/>
              <w:jc w:val="center"/>
              <w:rPr>
                <w:rFonts w:cs="Times New Roman"/>
              </w:rPr>
            </w:pPr>
            <w:r w:rsidRPr="000F44B4">
              <w:rPr>
                <w:rFonts w:cs="Times New Roman"/>
                <w:szCs w:val="24"/>
              </w:rPr>
              <w:t>Δ</w:t>
            </w:r>
            <w:r w:rsidRPr="000F44B4">
              <w:rPr>
                <w:rFonts w:cs="Times New Roman"/>
                <w:szCs w:val="24"/>
                <w:vertAlign w:val="superscript"/>
              </w:rPr>
              <w:t>18</w:t>
            </w:r>
            <w:r w:rsidRPr="000F44B4">
              <w:rPr>
                <w:rFonts w:cs="Times New Roman"/>
                <w:szCs w:val="24"/>
              </w:rPr>
              <w:t>O</w:t>
            </w:r>
            <w:r w:rsidRPr="000F44B4">
              <w:rPr>
                <w:rFonts w:cs="Times New Roman"/>
              </w:rPr>
              <w:t xml:space="preserve"> (‰)</w:t>
            </w:r>
          </w:p>
        </w:tc>
        <w:tc>
          <w:tcPr>
            <w:tcW w:w="1800" w:type="dxa"/>
            <w:shd w:val="clear" w:color="auto" w:fill="FFFFFF" w:themeFill="background1"/>
            <w:vAlign w:val="center"/>
          </w:tcPr>
          <w:p w14:paraId="4178B8D0" w14:textId="77777777" w:rsidR="007561F6" w:rsidRPr="000F44B4" w:rsidRDefault="007561F6" w:rsidP="007561F6">
            <w:pPr>
              <w:spacing w:line="240" w:lineRule="auto"/>
              <w:jc w:val="center"/>
              <w:rPr>
                <w:rFonts w:cs="Times New Roman"/>
              </w:rPr>
            </w:pPr>
            <w:r w:rsidRPr="000F44B4">
              <w:rPr>
                <w:rFonts w:cs="Times New Roman"/>
              </w:rPr>
              <w:t>-</w:t>
            </w:r>
          </w:p>
        </w:tc>
        <w:tc>
          <w:tcPr>
            <w:tcW w:w="1710" w:type="dxa"/>
            <w:shd w:val="clear" w:color="auto" w:fill="FFFFFF" w:themeFill="background1"/>
            <w:vAlign w:val="center"/>
          </w:tcPr>
          <w:p w14:paraId="4F56E066" w14:textId="77777777" w:rsidR="007561F6" w:rsidRPr="000F44B4" w:rsidRDefault="007561F6" w:rsidP="007561F6">
            <w:pPr>
              <w:spacing w:line="240" w:lineRule="auto"/>
              <w:jc w:val="center"/>
              <w:rPr>
                <w:rFonts w:cs="Times New Roman"/>
              </w:rPr>
            </w:pPr>
            <w:r w:rsidRPr="000F44B4">
              <w:rPr>
                <w:rFonts w:cs="Times New Roman"/>
              </w:rPr>
              <w:t>-</w:t>
            </w:r>
          </w:p>
        </w:tc>
        <w:tc>
          <w:tcPr>
            <w:tcW w:w="1980" w:type="dxa"/>
            <w:shd w:val="clear" w:color="auto" w:fill="FFFFFF" w:themeFill="background1"/>
            <w:vAlign w:val="center"/>
          </w:tcPr>
          <w:p w14:paraId="52EB84EA" w14:textId="77777777" w:rsidR="007561F6" w:rsidRPr="000F44B4" w:rsidRDefault="007561F6" w:rsidP="007561F6">
            <w:pPr>
              <w:spacing w:line="240" w:lineRule="auto"/>
              <w:jc w:val="center"/>
              <w:rPr>
                <w:rFonts w:cs="Times New Roman"/>
              </w:rPr>
            </w:pPr>
            <w:r w:rsidRPr="000F44B4">
              <w:rPr>
                <w:rFonts w:cs="Times New Roman"/>
              </w:rPr>
              <w:t>+2.8</w:t>
            </w:r>
          </w:p>
        </w:tc>
        <w:tc>
          <w:tcPr>
            <w:tcW w:w="1620" w:type="dxa"/>
            <w:shd w:val="clear" w:color="auto" w:fill="FFFFFF" w:themeFill="background1"/>
            <w:vAlign w:val="center"/>
          </w:tcPr>
          <w:p w14:paraId="3056F95F" w14:textId="77777777" w:rsidR="007561F6" w:rsidRPr="000F44B4" w:rsidRDefault="007561F6" w:rsidP="007561F6">
            <w:pPr>
              <w:spacing w:line="240" w:lineRule="auto"/>
              <w:jc w:val="center"/>
              <w:rPr>
                <w:rFonts w:cs="Times New Roman"/>
              </w:rPr>
            </w:pPr>
            <w:r w:rsidRPr="000F44B4">
              <w:rPr>
                <w:rFonts w:cs="Times New Roman"/>
              </w:rPr>
              <w:t>+0.7</w:t>
            </w:r>
          </w:p>
        </w:tc>
      </w:tr>
      <w:tr w:rsidR="007561F6" w:rsidRPr="000F44B4" w14:paraId="1F9B2B65" w14:textId="77777777" w:rsidTr="00CF12B5">
        <w:tc>
          <w:tcPr>
            <w:tcW w:w="2250" w:type="dxa"/>
            <w:tcBorders>
              <w:bottom w:val="single" w:sz="4" w:space="0" w:color="auto"/>
            </w:tcBorders>
            <w:shd w:val="clear" w:color="auto" w:fill="FFFFFF" w:themeFill="background1"/>
            <w:vAlign w:val="center"/>
          </w:tcPr>
          <w:p w14:paraId="6AD5278C" w14:textId="77777777" w:rsidR="007561F6" w:rsidRPr="000F44B4" w:rsidRDefault="007561F6" w:rsidP="007561F6">
            <w:pPr>
              <w:spacing w:line="240" w:lineRule="auto"/>
              <w:jc w:val="center"/>
              <w:rPr>
                <w:rFonts w:cs="Times New Roman"/>
              </w:rPr>
            </w:pPr>
            <w:r w:rsidRPr="000F44B4">
              <w:rPr>
                <w:rFonts w:cs="Times New Roman"/>
              </w:rPr>
              <w:t>Duration [</w:t>
            </w:r>
            <w:r>
              <w:rPr>
                <w:rFonts w:cs="Times New Roman"/>
              </w:rPr>
              <w:t>95 % CI</w:t>
            </w:r>
            <w:r w:rsidRPr="000F44B4">
              <w:rPr>
                <w:rFonts w:cs="Times New Roman"/>
              </w:rPr>
              <w:t>] (days)</w:t>
            </w:r>
          </w:p>
        </w:tc>
        <w:tc>
          <w:tcPr>
            <w:tcW w:w="1800" w:type="dxa"/>
            <w:tcBorders>
              <w:bottom w:val="single" w:sz="4" w:space="0" w:color="auto"/>
            </w:tcBorders>
            <w:shd w:val="clear" w:color="auto" w:fill="FFFFFF" w:themeFill="background1"/>
            <w:vAlign w:val="center"/>
          </w:tcPr>
          <w:p w14:paraId="0E5B059F" w14:textId="77777777" w:rsidR="007561F6" w:rsidRPr="000F44B4" w:rsidRDefault="007561F6" w:rsidP="007561F6">
            <w:pPr>
              <w:spacing w:line="240" w:lineRule="auto"/>
              <w:jc w:val="center"/>
              <w:rPr>
                <w:rFonts w:cs="Times New Roman"/>
              </w:rPr>
            </w:pPr>
            <w:r w:rsidRPr="000F44B4">
              <w:rPr>
                <w:rFonts w:cs="Times New Roman"/>
              </w:rPr>
              <w:t>-</w:t>
            </w:r>
          </w:p>
        </w:tc>
        <w:tc>
          <w:tcPr>
            <w:tcW w:w="1710" w:type="dxa"/>
            <w:tcBorders>
              <w:bottom w:val="single" w:sz="4" w:space="0" w:color="auto"/>
            </w:tcBorders>
            <w:shd w:val="clear" w:color="auto" w:fill="FFFFFF" w:themeFill="background1"/>
            <w:vAlign w:val="center"/>
          </w:tcPr>
          <w:p w14:paraId="54F35DA2" w14:textId="77777777" w:rsidR="007561F6" w:rsidRPr="000F44B4" w:rsidRDefault="007561F6" w:rsidP="007561F6">
            <w:pPr>
              <w:spacing w:line="240" w:lineRule="auto"/>
              <w:jc w:val="center"/>
              <w:rPr>
                <w:rFonts w:cs="Times New Roman"/>
              </w:rPr>
            </w:pPr>
            <w:r w:rsidRPr="000F44B4">
              <w:rPr>
                <w:rFonts w:cs="Times New Roman"/>
              </w:rPr>
              <w:t>-</w:t>
            </w:r>
          </w:p>
        </w:tc>
        <w:tc>
          <w:tcPr>
            <w:tcW w:w="1980" w:type="dxa"/>
            <w:tcBorders>
              <w:bottom w:val="single" w:sz="4" w:space="0" w:color="auto"/>
            </w:tcBorders>
            <w:shd w:val="clear" w:color="auto" w:fill="FFFFFF" w:themeFill="background1"/>
            <w:vAlign w:val="center"/>
          </w:tcPr>
          <w:p w14:paraId="175BE486" w14:textId="77777777" w:rsidR="007561F6" w:rsidRPr="000F44B4" w:rsidRDefault="007561F6" w:rsidP="007561F6">
            <w:pPr>
              <w:spacing w:line="240" w:lineRule="auto"/>
              <w:jc w:val="center"/>
              <w:rPr>
                <w:rFonts w:cs="Times New Roman"/>
              </w:rPr>
            </w:pPr>
            <w:r w:rsidRPr="000F44B4">
              <w:rPr>
                <w:rFonts w:cs="Times New Roman"/>
              </w:rPr>
              <w:t>56 [43 – 80]</w:t>
            </w:r>
          </w:p>
        </w:tc>
        <w:tc>
          <w:tcPr>
            <w:tcW w:w="1620" w:type="dxa"/>
            <w:tcBorders>
              <w:bottom w:val="single" w:sz="4" w:space="0" w:color="auto"/>
            </w:tcBorders>
            <w:shd w:val="clear" w:color="auto" w:fill="FFFFFF" w:themeFill="background1"/>
            <w:vAlign w:val="center"/>
          </w:tcPr>
          <w:p w14:paraId="3B5AA5E6" w14:textId="77777777" w:rsidR="007561F6" w:rsidRPr="000F44B4" w:rsidRDefault="007561F6" w:rsidP="007561F6">
            <w:pPr>
              <w:spacing w:line="240" w:lineRule="auto"/>
              <w:jc w:val="center"/>
              <w:rPr>
                <w:rFonts w:cs="Times New Roman"/>
              </w:rPr>
            </w:pPr>
            <w:r w:rsidRPr="000F44B4">
              <w:rPr>
                <w:rFonts w:cs="Times New Roman"/>
              </w:rPr>
              <w:t>35 [26 – 54]</w:t>
            </w:r>
          </w:p>
        </w:tc>
      </w:tr>
      <w:tr w:rsidR="007561F6" w:rsidRPr="000F44B4" w14:paraId="488524B1" w14:textId="77777777" w:rsidTr="00CF12B5">
        <w:tc>
          <w:tcPr>
            <w:tcW w:w="2250" w:type="dxa"/>
            <w:tcBorders>
              <w:top w:val="single" w:sz="4" w:space="0" w:color="auto"/>
            </w:tcBorders>
            <w:shd w:val="clear" w:color="auto" w:fill="FFFFFF" w:themeFill="background1"/>
            <w:vAlign w:val="center"/>
          </w:tcPr>
          <w:p w14:paraId="1EDC7612" w14:textId="77777777" w:rsidR="007561F6" w:rsidRPr="000F44B4" w:rsidRDefault="007561F6" w:rsidP="007561F6">
            <w:pPr>
              <w:spacing w:before="120" w:line="240" w:lineRule="auto"/>
              <w:jc w:val="center"/>
              <w:rPr>
                <w:rFonts w:cs="Times New Roman"/>
              </w:rPr>
            </w:pPr>
            <w:r w:rsidRPr="000F44B4">
              <w:rPr>
                <w:rFonts w:cs="Times New Roman"/>
              </w:rPr>
              <w:t>Season</w:t>
            </w:r>
            <w:r>
              <w:rPr>
                <w:rFonts w:cs="Times New Roman"/>
              </w:rPr>
              <w:t xml:space="preserve"> 6</w:t>
            </w:r>
          </w:p>
        </w:tc>
        <w:tc>
          <w:tcPr>
            <w:tcW w:w="1800" w:type="dxa"/>
            <w:tcBorders>
              <w:top w:val="single" w:sz="4" w:space="0" w:color="auto"/>
            </w:tcBorders>
            <w:shd w:val="clear" w:color="auto" w:fill="FFFFFF" w:themeFill="background1"/>
            <w:vAlign w:val="center"/>
          </w:tcPr>
          <w:p w14:paraId="0AAA42BF" w14:textId="77777777" w:rsidR="007561F6" w:rsidRPr="000F44B4" w:rsidRDefault="007561F6" w:rsidP="007561F6">
            <w:pPr>
              <w:spacing w:before="120" w:line="240" w:lineRule="auto"/>
              <w:jc w:val="center"/>
              <w:rPr>
                <w:rFonts w:cs="Times New Roman"/>
              </w:rPr>
            </w:pPr>
            <w:r w:rsidRPr="000F44B4">
              <w:rPr>
                <w:rFonts w:cs="Times New Roman"/>
              </w:rPr>
              <w:t>-</w:t>
            </w:r>
          </w:p>
        </w:tc>
        <w:tc>
          <w:tcPr>
            <w:tcW w:w="1710" w:type="dxa"/>
            <w:tcBorders>
              <w:top w:val="single" w:sz="4" w:space="0" w:color="auto"/>
            </w:tcBorders>
            <w:shd w:val="clear" w:color="auto" w:fill="FFFFFF" w:themeFill="background1"/>
            <w:vAlign w:val="center"/>
          </w:tcPr>
          <w:p w14:paraId="40CF4153" w14:textId="77777777" w:rsidR="007561F6" w:rsidRPr="000F44B4" w:rsidRDefault="007561F6" w:rsidP="007561F6">
            <w:pPr>
              <w:spacing w:before="120" w:line="240" w:lineRule="auto"/>
              <w:jc w:val="center"/>
              <w:rPr>
                <w:rFonts w:cs="Times New Roman"/>
              </w:rPr>
            </w:pPr>
            <w:r w:rsidRPr="000F44B4">
              <w:rPr>
                <w:rFonts w:cs="Times New Roman"/>
              </w:rPr>
              <w:t>-</w:t>
            </w:r>
          </w:p>
        </w:tc>
        <w:tc>
          <w:tcPr>
            <w:tcW w:w="1980" w:type="dxa"/>
            <w:tcBorders>
              <w:top w:val="single" w:sz="4" w:space="0" w:color="auto"/>
            </w:tcBorders>
            <w:shd w:val="clear" w:color="auto" w:fill="FFFFFF" w:themeFill="background1"/>
            <w:vAlign w:val="center"/>
          </w:tcPr>
          <w:p w14:paraId="6A09DFDF" w14:textId="77777777" w:rsidR="007561F6" w:rsidRPr="000F44B4" w:rsidRDefault="007561F6" w:rsidP="007561F6">
            <w:pPr>
              <w:spacing w:before="120" w:line="240" w:lineRule="auto"/>
              <w:jc w:val="center"/>
              <w:rPr>
                <w:rFonts w:cs="Times New Roman"/>
              </w:rPr>
            </w:pPr>
            <w:r w:rsidRPr="000F44B4">
              <w:rPr>
                <w:rFonts w:cs="Times New Roman"/>
              </w:rPr>
              <w:t>Rainy</w:t>
            </w:r>
          </w:p>
        </w:tc>
        <w:tc>
          <w:tcPr>
            <w:tcW w:w="1620" w:type="dxa"/>
            <w:tcBorders>
              <w:top w:val="single" w:sz="4" w:space="0" w:color="auto"/>
            </w:tcBorders>
            <w:shd w:val="clear" w:color="auto" w:fill="FFFFFF" w:themeFill="background1"/>
            <w:vAlign w:val="center"/>
          </w:tcPr>
          <w:p w14:paraId="17DE5C3C" w14:textId="77777777" w:rsidR="007561F6" w:rsidRPr="000F44B4" w:rsidRDefault="007561F6" w:rsidP="007561F6">
            <w:pPr>
              <w:spacing w:before="120" w:line="240" w:lineRule="auto"/>
              <w:jc w:val="center"/>
              <w:rPr>
                <w:rFonts w:cs="Times New Roman"/>
              </w:rPr>
            </w:pPr>
            <w:r w:rsidRPr="000F44B4">
              <w:rPr>
                <w:rFonts w:cs="Times New Roman"/>
              </w:rPr>
              <w:t>Rainy</w:t>
            </w:r>
          </w:p>
        </w:tc>
      </w:tr>
      <w:tr w:rsidR="007561F6" w:rsidRPr="000F44B4" w14:paraId="7F05D31C" w14:textId="77777777" w:rsidTr="00CF12B5">
        <w:tc>
          <w:tcPr>
            <w:tcW w:w="2250" w:type="dxa"/>
            <w:shd w:val="clear" w:color="auto" w:fill="FFFFFF" w:themeFill="background1"/>
            <w:vAlign w:val="center"/>
          </w:tcPr>
          <w:p w14:paraId="36DD6B4D" w14:textId="77777777" w:rsidR="007561F6" w:rsidRPr="000F44B4" w:rsidRDefault="007561F6" w:rsidP="007561F6">
            <w:pPr>
              <w:spacing w:line="240" w:lineRule="auto"/>
              <w:jc w:val="center"/>
              <w:rPr>
                <w:rFonts w:cs="Times New Roman"/>
              </w:rPr>
            </w:pPr>
            <w:r w:rsidRPr="000F44B4">
              <w:rPr>
                <w:rFonts w:cs="Times New Roman"/>
                <w:szCs w:val="24"/>
              </w:rPr>
              <w:t>Δ</w:t>
            </w:r>
            <w:r w:rsidRPr="000F44B4">
              <w:rPr>
                <w:rFonts w:cs="Times New Roman"/>
                <w:szCs w:val="24"/>
                <w:vertAlign w:val="superscript"/>
              </w:rPr>
              <w:t>18</w:t>
            </w:r>
            <w:r w:rsidRPr="000F44B4">
              <w:rPr>
                <w:rFonts w:cs="Times New Roman"/>
                <w:szCs w:val="24"/>
              </w:rPr>
              <w:t>O</w:t>
            </w:r>
            <w:r w:rsidRPr="000F44B4">
              <w:rPr>
                <w:rFonts w:cs="Times New Roman"/>
              </w:rPr>
              <w:t xml:space="preserve"> (‰)</w:t>
            </w:r>
          </w:p>
        </w:tc>
        <w:tc>
          <w:tcPr>
            <w:tcW w:w="1800" w:type="dxa"/>
            <w:shd w:val="clear" w:color="auto" w:fill="FFFFFF" w:themeFill="background1"/>
            <w:vAlign w:val="center"/>
          </w:tcPr>
          <w:p w14:paraId="676A2A02" w14:textId="77777777" w:rsidR="007561F6" w:rsidRPr="000F44B4" w:rsidRDefault="007561F6" w:rsidP="007561F6">
            <w:pPr>
              <w:spacing w:line="240" w:lineRule="auto"/>
              <w:jc w:val="center"/>
              <w:rPr>
                <w:rFonts w:cs="Times New Roman"/>
              </w:rPr>
            </w:pPr>
            <w:r w:rsidRPr="000F44B4">
              <w:rPr>
                <w:rFonts w:cs="Times New Roman"/>
              </w:rPr>
              <w:t>-</w:t>
            </w:r>
          </w:p>
        </w:tc>
        <w:tc>
          <w:tcPr>
            <w:tcW w:w="1710" w:type="dxa"/>
            <w:shd w:val="clear" w:color="auto" w:fill="FFFFFF" w:themeFill="background1"/>
            <w:vAlign w:val="center"/>
          </w:tcPr>
          <w:p w14:paraId="6EDA820A" w14:textId="77777777" w:rsidR="007561F6" w:rsidRPr="000F44B4" w:rsidRDefault="007561F6" w:rsidP="007561F6">
            <w:pPr>
              <w:spacing w:line="240" w:lineRule="auto"/>
              <w:jc w:val="center"/>
              <w:rPr>
                <w:rFonts w:cs="Times New Roman"/>
              </w:rPr>
            </w:pPr>
            <w:r w:rsidRPr="000F44B4">
              <w:rPr>
                <w:rFonts w:cs="Times New Roman"/>
              </w:rPr>
              <w:t>-</w:t>
            </w:r>
          </w:p>
        </w:tc>
        <w:tc>
          <w:tcPr>
            <w:tcW w:w="1980" w:type="dxa"/>
            <w:shd w:val="clear" w:color="auto" w:fill="FFFFFF" w:themeFill="background1"/>
            <w:vAlign w:val="center"/>
          </w:tcPr>
          <w:p w14:paraId="4FBBA860" w14:textId="632A0D85" w:rsidR="007561F6" w:rsidRPr="002F64FB" w:rsidRDefault="003C4D91" w:rsidP="007561F6">
            <w:pPr>
              <w:spacing w:line="240" w:lineRule="auto"/>
              <w:jc w:val="center"/>
              <w:rPr>
                <w:rFonts w:cs="Times New Roman"/>
                <w:b/>
                <w:bCs/>
              </w:rPr>
            </w:pPr>
            <w:r>
              <w:rPr>
                <w:rFonts w:cs="Times New Roman"/>
              </w:rPr>
              <w:t>−</w:t>
            </w:r>
            <w:r w:rsidR="007561F6" w:rsidRPr="002F64FB">
              <w:rPr>
                <w:rFonts w:cs="Times New Roman"/>
                <w:b/>
                <w:bCs/>
              </w:rPr>
              <w:t>3.9</w:t>
            </w:r>
          </w:p>
        </w:tc>
        <w:tc>
          <w:tcPr>
            <w:tcW w:w="1620" w:type="dxa"/>
            <w:shd w:val="clear" w:color="auto" w:fill="FFFFFF" w:themeFill="background1"/>
            <w:vAlign w:val="center"/>
          </w:tcPr>
          <w:p w14:paraId="6D3756B2" w14:textId="5F558BA5" w:rsidR="007561F6" w:rsidRPr="0066134A" w:rsidRDefault="003C4D91" w:rsidP="007561F6">
            <w:pPr>
              <w:spacing w:line="240" w:lineRule="auto"/>
              <w:jc w:val="center"/>
              <w:rPr>
                <w:rFonts w:cs="Times New Roman"/>
                <w:b/>
              </w:rPr>
            </w:pPr>
            <w:r>
              <w:rPr>
                <w:rFonts w:cs="Times New Roman"/>
              </w:rPr>
              <w:t>−</w:t>
            </w:r>
            <w:r w:rsidR="007561F6" w:rsidRPr="0066134A">
              <w:rPr>
                <w:rFonts w:cs="Times New Roman"/>
                <w:b/>
              </w:rPr>
              <w:t>2.3</w:t>
            </w:r>
          </w:p>
        </w:tc>
      </w:tr>
      <w:tr w:rsidR="007561F6" w:rsidRPr="000F44B4" w14:paraId="5AD997ED" w14:textId="77777777" w:rsidTr="00CF12B5">
        <w:tc>
          <w:tcPr>
            <w:tcW w:w="2250" w:type="dxa"/>
            <w:tcBorders>
              <w:bottom w:val="single" w:sz="4" w:space="0" w:color="auto"/>
            </w:tcBorders>
            <w:shd w:val="clear" w:color="auto" w:fill="FFFFFF" w:themeFill="background1"/>
            <w:vAlign w:val="center"/>
          </w:tcPr>
          <w:p w14:paraId="1D80E178" w14:textId="77777777" w:rsidR="007561F6" w:rsidRPr="000F44B4" w:rsidRDefault="007561F6" w:rsidP="007561F6">
            <w:pPr>
              <w:spacing w:line="240" w:lineRule="auto"/>
              <w:jc w:val="center"/>
              <w:rPr>
                <w:rFonts w:cs="Times New Roman"/>
              </w:rPr>
            </w:pPr>
            <w:r w:rsidRPr="000F44B4">
              <w:rPr>
                <w:rFonts w:cs="Times New Roman"/>
              </w:rPr>
              <w:t>Duration [</w:t>
            </w:r>
            <w:r>
              <w:rPr>
                <w:rFonts w:cs="Times New Roman"/>
              </w:rPr>
              <w:t>95 % CI</w:t>
            </w:r>
            <w:r w:rsidRPr="000F44B4">
              <w:rPr>
                <w:rFonts w:cs="Times New Roman"/>
              </w:rPr>
              <w:t>] (days)</w:t>
            </w:r>
          </w:p>
        </w:tc>
        <w:tc>
          <w:tcPr>
            <w:tcW w:w="1800" w:type="dxa"/>
            <w:tcBorders>
              <w:bottom w:val="single" w:sz="4" w:space="0" w:color="auto"/>
            </w:tcBorders>
            <w:shd w:val="clear" w:color="auto" w:fill="FFFFFF" w:themeFill="background1"/>
            <w:vAlign w:val="center"/>
          </w:tcPr>
          <w:p w14:paraId="74567BA7" w14:textId="77777777" w:rsidR="007561F6" w:rsidRPr="000F44B4" w:rsidRDefault="007561F6" w:rsidP="007561F6">
            <w:pPr>
              <w:spacing w:line="240" w:lineRule="auto"/>
              <w:jc w:val="center"/>
              <w:rPr>
                <w:rFonts w:cs="Times New Roman"/>
              </w:rPr>
            </w:pPr>
            <w:r w:rsidRPr="000F44B4">
              <w:rPr>
                <w:rFonts w:cs="Times New Roman"/>
              </w:rPr>
              <w:t>-</w:t>
            </w:r>
          </w:p>
        </w:tc>
        <w:tc>
          <w:tcPr>
            <w:tcW w:w="1710" w:type="dxa"/>
            <w:tcBorders>
              <w:bottom w:val="single" w:sz="4" w:space="0" w:color="auto"/>
            </w:tcBorders>
            <w:shd w:val="clear" w:color="auto" w:fill="FFFFFF" w:themeFill="background1"/>
            <w:vAlign w:val="center"/>
          </w:tcPr>
          <w:p w14:paraId="34D2A550" w14:textId="77777777" w:rsidR="007561F6" w:rsidRPr="000F44B4" w:rsidRDefault="007561F6" w:rsidP="007561F6">
            <w:pPr>
              <w:spacing w:line="240" w:lineRule="auto"/>
              <w:jc w:val="center"/>
              <w:rPr>
                <w:rFonts w:cs="Times New Roman"/>
              </w:rPr>
            </w:pPr>
            <w:r w:rsidRPr="000F44B4">
              <w:rPr>
                <w:rFonts w:cs="Times New Roman"/>
              </w:rPr>
              <w:t>-</w:t>
            </w:r>
          </w:p>
        </w:tc>
        <w:tc>
          <w:tcPr>
            <w:tcW w:w="1980" w:type="dxa"/>
            <w:tcBorders>
              <w:bottom w:val="single" w:sz="4" w:space="0" w:color="auto"/>
            </w:tcBorders>
            <w:shd w:val="clear" w:color="auto" w:fill="FFFFFF" w:themeFill="background1"/>
            <w:vAlign w:val="center"/>
          </w:tcPr>
          <w:p w14:paraId="101CBA6B" w14:textId="77777777" w:rsidR="007561F6" w:rsidRPr="00872961" w:rsidRDefault="007561F6" w:rsidP="007561F6">
            <w:pPr>
              <w:spacing w:line="240" w:lineRule="auto"/>
              <w:jc w:val="center"/>
              <w:rPr>
                <w:rFonts w:cs="Times New Roman"/>
                <w:b/>
              </w:rPr>
            </w:pPr>
            <w:r w:rsidRPr="00872961">
              <w:rPr>
                <w:rFonts w:cs="Times New Roman"/>
                <w:b/>
              </w:rPr>
              <w:t>102 [78 – 149]</w:t>
            </w:r>
          </w:p>
        </w:tc>
        <w:tc>
          <w:tcPr>
            <w:tcW w:w="1620" w:type="dxa"/>
            <w:tcBorders>
              <w:bottom w:val="single" w:sz="4" w:space="0" w:color="auto"/>
            </w:tcBorders>
            <w:shd w:val="clear" w:color="auto" w:fill="FFFFFF" w:themeFill="background1"/>
            <w:vAlign w:val="center"/>
          </w:tcPr>
          <w:p w14:paraId="392851DF" w14:textId="77777777" w:rsidR="007561F6" w:rsidRPr="00872961" w:rsidRDefault="007561F6" w:rsidP="007561F6">
            <w:pPr>
              <w:spacing w:line="240" w:lineRule="auto"/>
              <w:jc w:val="center"/>
              <w:rPr>
                <w:rFonts w:cs="Times New Roman"/>
                <w:b/>
              </w:rPr>
            </w:pPr>
            <w:r w:rsidRPr="00872961">
              <w:rPr>
                <w:rFonts w:cs="Times New Roman"/>
                <w:b/>
              </w:rPr>
              <w:t>120 [86 – 198]</w:t>
            </w:r>
          </w:p>
        </w:tc>
      </w:tr>
    </w:tbl>
    <w:p w14:paraId="4B8A04DE" w14:textId="77777777" w:rsidR="007561F6" w:rsidRDefault="007561F6" w:rsidP="007561F6">
      <w:pPr>
        <w:spacing w:after="160" w:line="259" w:lineRule="auto"/>
      </w:pPr>
      <w:r>
        <w:br w:type="page"/>
      </w:r>
    </w:p>
    <w:p w14:paraId="5A74CFC5" w14:textId="6FDB1B18" w:rsidR="00C94160" w:rsidRDefault="00C94160" w:rsidP="00C94160">
      <w:bookmarkStart w:id="8" w:name="_Hlk32419280"/>
      <w:r w:rsidRPr="00F56651">
        <w:lastRenderedPageBreak/>
        <w:t>Table S</w:t>
      </w:r>
      <w:r>
        <w:t xml:space="preserve">4. Summary of canine and incisor isotope profiles reported in </w:t>
      </w:r>
      <w:hyperlink w:anchor="_ENREF_6" w:tooltip="Frémondeau, 2012 #182" w:history="1">
        <w:r>
          <w:fldChar w:fldCharType="begin"/>
        </w:r>
        <w:r>
          <w:instrText xml:space="preserve"> ADDIN EN.CITE &lt;EndNote&gt;&lt;Cite AuthorYear="1"&gt;&lt;Author&gt;Frémondeau&lt;/Author&gt;&lt;Year&gt;2012&lt;/Year&gt;&lt;RecNum&gt;182&lt;/RecNum&gt;&lt;DisplayText&gt;Frémondeau et al. (2012)&lt;/DisplayText&gt;&lt;record&gt;&lt;rec-number&gt;182&lt;/rec-number&gt;&lt;foreign-keys&gt;&lt;key app="EN" db-id="tfdrzwraavd093eezvk5z5ehd2xvxse2wfar" timestamp="1472560847"&gt;182&lt;/key&gt;&lt;/foreign-keys&gt;&lt;ref-type name="Journal Article"&gt;17&lt;/ref-type&gt;&lt;contributors&gt;&lt;authors&gt;&lt;author&gt;Frémondeau, Delphine&lt;/author&gt;&lt;author&gt;Cucchi, Thomas&lt;/author&gt;&lt;author&gt;Casabianca, François&lt;/author&gt;&lt;author&gt;Ughetto-Monfrin, Joël&lt;/author&gt;&lt;author&gt;Horard-Herbin, M-P&lt;/author&gt;&lt;author&gt;Balasse, Marie&lt;/author&gt;&lt;/authors&gt;&lt;/contributors&gt;&lt;titles&gt;&lt;title&gt;&lt;style face="normal" font="default" size="100%"&gt;Seasonality of birth and diet of pigs from stable isotope analyses of tooth enamel (δ&lt;/style&gt;&lt;style face="superscript" font="default" size="100%"&gt;18&lt;/style&gt;&lt;style face="normal" font="default" size="100%"&gt;O, δ&lt;/style&gt;&lt;style face="superscript" font="default" size="100%"&gt;13&lt;/style&gt;&lt;style face="normal" font="default" size="100%"&gt;C): a modern reference data set from Corsica, France&lt;/style&gt;&lt;/title&gt;&lt;secondary-title&gt;Journal of Archaeological Science&lt;/secondary-title&gt;&lt;/titles&gt;&lt;periodical&gt;&lt;full-title&gt;Journal of Archaeological Science&lt;/full-title&gt;&lt;abbr-1&gt;J Archaeol Sci&lt;/abbr-1&gt;&lt;abbr-2&gt;J. Archaeol. Sci.&lt;/abbr-2&gt;&lt;/periodical&gt;&lt;pages&gt;2023-2035&lt;/pages&gt;&lt;volume&gt;39&lt;/volume&gt;&lt;number&gt;7&lt;/number&gt;&lt;dates&gt;&lt;year&gt;2012&lt;/year&gt;&lt;/dates&gt;&lt;isbn&gt;0305-4403&lt;/isbn&gt;&lt;urls&gt;&lt;/urls&gt;&lt;/record&gt;&lt;/Cite&gt;&lt;/EndNote&gt;</w:instrText>
        </w:r>
        <w:r>
          <w:fldChar w:fldCharType="separate"/>
        </w:r>
        <w:r>
          <w:rPr>
            <w:noProof/>
          </w:rPr>
          <w:t>Frémondeau et al. (2012)</w:t>
        </w:r>
        <w:r>
          <w:fldChar w:fldCharType="end"/>
        </w:r>
      </w:hyperlink>
      <w:r>
        <w:t>; asterisk</w:t>
      </w:r>
      <w:r w:rsidR="00382505">
        <w:t>s</w:t>
      </w:r>
      <w:r>
        <w:t xml:space="preserve"> </w:t>
      </w:r>
      <w:r w:rsidRPr="00F56651">
        <w:t>(*)</w:t>
      </w:r>
      <w:r>
        <w:t xml:space="preserve"> indicate mean of resampled data (2,000 iterations), to account for the skewness in the dataset.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1119"/>
        <w:gridCol w:w="861"/>
        <w:gridCol w:w="986"/>
        <w:gridCol w:w="994"/>
        <w:gridCol w:w="810"/>
        <w:gridCol w:w="810"/>
        <w:gridCol w:w="1080"/>
        <w:gridCol w:w="900"/>
        <w:gridCol w:w="990"/>
        <w:gridCol w:w="900"/>
      </w:tblGrid>
      <w:tr w:rsidR="00211039" w:rsidRPr="00F56651" w14:paraId="4FF1FD22" w14:textId="77777777" w:rsidTr="00211039">
        <w:tc>
          <w:tcPr>
            <w:tcW w:w="1119" w:type="dxa"/>
            <w:tcBorders>
              <w:top w:val="single" w:sz="4" w:space="0" w:color="auto"/>
              <w:bottom w:val="single" w:sz="4" w:space="0" w:color="auto"/>
            </w:tcBorders>
          </w:tcPr>
          <w:p w14:paraId="057A2201" w14:textId="77777777" w:rsidR="007561F6" w:rsidRPr="00F56651" w:rsidRDefault="007561F6" w:rsidP="007561F6">
            <w:pPr>
              <w:spacing w:line="240" w:lineRule="auto"/>
              <w:rPr>
                <w:rFonts w:cs="Times New Roman"/>
              </w:rPr>
            </w:pPr>
            <w:r w:rsidRPr="00F56651">
              <w:rPr>
                <w:rFonts w:cs="Times New Roman"/>
              </w:rPr>
              <w:t>Specimen</w:t>
            </w:r>
          </w:p>
        </w:tc>
        <w:tc>
          <w:tcPr>
            <w:tcW w:w="861" w:type="dxa"/>
            <w:tcBorders>
              <w:top w:val="single" w:sz="4" w:space="0" w:color="auto"/>
              <w:bottom w:val="single" w:sz="4" w:space="0" w:color="auto"/>
            </w:tcBorders>
          </w:tcPr>
          <w:p w14:paraId="39774632" w14:textId="77777777" w:rsidR="007561F6" w:rsidRPr="00F56651" w:rsidRDefault="007561F6" w:rsidP="007561F6">
            <w:pPr>
              <w:spacing w:line="240" w:lineRule="auto"/>
              <w:rPr>
                <w:rFonts w:cs="Times New Roman"/>
              </w:rPr>
            </w:pPr>
            <w:r w:rsidRPr="00F56651">
              <w:rPr>
                <w:rFonts w:cs="Times New Roman"/>
              </w:rPr>
              <w:t>Tooth</w:t>
            </w:r>
          </w:p>
        </w:tc>
        <w:tc>
          <w:tcPr>
            <w:tcW w:w="986" w:type="dxa"/>
            <w:tcBorders>
              <w:top w:val="single" w:sz="4" w:space="0" w:color="auto"/>
              <w:bottom w:val="single" w:sz="4" w:space="0" w:color="auto"/>
            </w:tcBorders>
          </w:tcPr>
          <w:p w14:paraId="2FCCD118" w14:textId="77777777" w:rsidR="007561F6" w:rsidRPr="00F56651" w:rsidRDefault="007561F6" w:rsidP="007561F6">
            <w:pPr>
              <w:spacing w:line="240" w:lineRule="auto"/>
              <w:rPr>
                <w:rFonts w:cs="Times New Roman"/>
              </w:rPr>
            </w:pPr>
            <w:r w:rsidRPr="00F56651">
              <w:rPr>
                <w:rFonts w:cs="Times New Roman"/>
              </w:rPr>
              <w:t xml:space="preserve">Mean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w:t>
            </w:r>
          </w:p>
        </w:tc>
        <w:tc>
          <w:tcPr>
            <w:tcW w:w="994" w:type="dxa"/>
            <w:tcBorders>
              <w:top w:val="single" w:sz="4" w:space="0" w:color="auto"/>
              <w:bottom w:val="single" w:sz="4" w:space="0" w:color="auto"/>
            </w:tcBorders>
          </w:tcPr>
          <w:p w14:paraId="5F7E52E5" w14:textId="77777777" w:rsidR="007561F6" w:rsidRPr="00F56651" w:rsidRDefault="007561F6" w:rsidP="007561F6">
            <w:pPr>
              <w:spacing w:line="240" w:lineRule="auto"/>
              <w:rPr>
                <w:rFonts w:cs="Times New Roman"/>
              </w:rPr>
            </w:pPr>
            <w:r w:rsidRPr="00F56651">
              <w:rPr>
                <w:rFonts w:cs="Times New Roman"/>
              </w:rPr>
              <w:t xml:space="preserve">Median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w:t>
            </w:r>
          </w:p>
        </w:tc>
        <w:tc>
          <w:tcPr>
            <w:tcW w:w="810" w:type="dxa"/>
            <w:tcBorders>
              <w:top w:val="single" w:sz="4" w:space="0" w:color="auto"/>
              <w:bottom w:val="single" w:sz="4" w:space="0" w:color="auto"/>
            </w:tcBorders>
          </w:tcPr>
          <w:p w14:paraId="0C3EF87B" w14:textId="77777777" w:rsidR="007561F6" w:rsidRPr="00F56651" w:rsidRDefault="007561F6" w:rsidP="007561F6">
            <w:pPr>
              <w:spacing w:line="240" w:lineRule="auto"/>
              <w:rPr>
                <w:rFonts w:cs="Times New Roman"/>
              </w:rPr>
            </w:pPr>
            <w:r w:rsidRPr="00F56651">
              <w:rPr>
                <w:rFonts w:cs="Times New Roman"/>
              </w:rPr>
              <w:t xml:space="preserve">Min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w:t>
            </w:r>
          </w:p>
        </w:tc>
        <w:tc>
          <w:tcPr>
            <w:tcW w:w="810" w:type="dxa"/>
            <w:tcBorders>
              <w:top w:val="single" w:sz="4" w:space="0" w:color="auto"/>
              <w:bottom w:val="single" w:sz="4" w:space="0" w:color="auto"/>
            </w:tcBorders>
          </w:tcPr>
          <w:p w14:paraId="66CF3FA1" w14:textId="77777777" w:rsidR="007561F6" w:rsidRPr="00F56651" w:rsidRDefault="007561F6" w:rsidP="007561F6">
            <w:pPr>
              <w:spacing w:line="240" w:lineRule="auto"/>
              <w:rPr>
                <w:rFonts w:cs="Times New Roman"/>
              </w:rPr>
            </w:pPr>
            <w:r w:rsidRPr="00F56651">
              <w:rPr>
                <w:rFonts w:cs="Times New Roman"/>
              </w:rPr>
              <w:t xml:space="preserve">Max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w:t>
            </w:r>
          </w:p>
        </w:tc>
        <w:tc>
          <w:tcPr>
            <w:tcW w:w="1080" w:type="dxa"/>
            <w:tcBorders>
              <w:top w:val="single" w:sz="4" w:space="0" w:color="auto"/>
              <w:bottom w:val="single" w:sz="4" w:space="0" w:color="auto"/>
            </w:tcBorders>
          </w:tcPr>
          <w:p w14:paraId="37C8DF20" w14:textId="77777777" w:rsidR="007561F6" w:rsidRPr="00F56651" w:rsidRDefault="007561F6" w:rsidP="007561F6">
            <w:pPr>
              <w:spacing w:line="240" w:lineRule="auto"/>
              <w:rPr>
                <w:rFonts w:cs="Times New Roman"/>
              </w:rPr>
            </w:pPr>
            <w:r w:rsidRPr="00F56651">
              <w:rPr>
                <w:rFonts w:cs="Times New Roman"/>
              </w:rPr>
              <w:t>Range (Max – Min, ‰)</w:t>
            </w:r>
          </w:p>
        </w:tc>
        <w:tc>
          <w:tcPr>
            <w:tcW w:w="900" w:type="dxa"/>
            <w:tcBorders>
              <w:top w:val="single" w:sz="4" w:space="0" w:color="auto"/>
              <w:bottom w:val="single" w:sz="4" w:space="0" w:color="auto"/>
            </w:tcBorders>
          </w:tcPr>
          <w:p w14:paraId="3024AE16" w14:textId="77777777" w:rsidR="007561F6" w:rsidRPr="00F56651" w:rsidRDefault="007561F6" w:rsidP="007561F6">
            <w:pPr>
              <w:spacing w:line="240" w:lineRule="auto"/>
              <w:rPr>
                <w:rFonts w:cs="Times New Roman"/>
              </w:rPr>
            </w:pPr>
            <w:r w:rsidRPr="00F56651">
              <w:rPr>
                <w:rFonts w:cs="Times New Roman"/>
              </w:rPr>
              <w:t xml:space="preserve">Δ mean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w:t>
            </w:r>
          </w:p>
        </w:tc>
        <w:tc>
          <w:tcPr>
            <w:tcW w:w="990" w:type="dxa"/>
            <w:tcBorders>
              <w:top w:val="single" w:sz="4" w:space="0" w:color="auto"/>
              <w:bottom w:val="single" w:sz="4" w:space="0" w:color="auto"/>
            </w:tcBorders>
          </w:tcPr>
          <w:p w14:paraId="0A374535" w14:textId="77777777" w:rsidR="007561F6" w:rsidRPr="00F56651" w:rsidRDefault="007561F6" w:rsidP="007561F6">
            <w:pPr>
              <w:spacing w:line="240" w:lineRule="auto"/>
              <w:rPr>
                <w:rFonts w:cs="Times New Roman"/>
              </w:rPr>
            </w:pPr>
            <w:r w:rsidRPr="00F56651">
              <w:rPr>
                <w:rFonts w:cs="Times New Roman"/>
              </w:rPr>
              <w:t xml:space="preserve">Δ median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w:t>
            </w:r>
          </w:p>
        </w:tc>
        <w:tc>
          <w:tcPr>
            <w:tcW w:w="900" w:type="dxa"/>
            <w:tcBorders>
              <w:top w:val="single" w:sz="4" w:space="0" w:color="auto"/>
              <w:bottom w:val="single" w:sz="4" w:space="0" w:color="auto"/>
            </w:tcBorders>
          </w:tcPr>
          <w:p w14:paraId="0566B31C" w14:textId="77777777" w:rsidR="007561F6" w:rsidRPr="00F56651" w:rsidRDefault="007561F6" w:rsidP="007561F6">
            <w:pPr>
              <w:spacing w:line="240" w:lineRule="auto"/>
              <w:rPr>
                <w:rFonts w:cs="Times New Roman"/>
              </w:rPr>
            </w:pPr>
            <w:r w:rsidRPr="00F56651">
              <w:rPr>
                <w:rFonts w:cs="Times New Roman"/>
              </w:rPr>
              <w:t xml:space="preserve">Δ range </w:t>
            </w:r>
            <w:r w:rsidRPr="004826A7">
              <w:rPr>
                <w:rFonts w:cs="Times New Roman"/>
                <w:szCs w:val="24"/>
              </w:rPr>
              <w:t>δ</w:t>
            </w:r>
            <w:r w:rsidRPr="004826A7">
              <w:rPr>
                <w:rFonts w:cs="Times New Roman"/>
                <w:szCs w:val="24"/>
                <w:vertAlign w:val="superscript"/>
              </w:rPr>
              <w:t>13</w:t>
            </w:r>
            <w:r w:rsidRPr="004826A7">
              <w:rPr>
                <w:rFonts w:cs="Times New Roman"/>
              </w:rPr>
              <w:t>C</w:t>
            </w:r>
            <w:r w:rsidRPr="00F56651">
              <w:rPr>
                <w:rFonts w:cs="Times New Roman"/>
              </w:rPr>
              <w:t xml:space="preserve"> (‰)</w:t>
            </w:r>
          </w:p>
        </w:tc>
      </w:tr>
      <w:tr w:rsidR="00211039" w:rsidRPr="00F56651" w14:paraId="4F534508" w14:textId="77777777" w:rsidTr="00211039">
        <w:tc>
          <w:tcPr>
            <w:tcW w:w="1119" w:type="dxa"/>
            <w:vMerge w:val="restart"/>
            <w:tcBorders>
              <w:top w:val="single" w:sz="4" w:space="0" w:color="auto"/>
            </w:tcBorders>
            <w:shd w:val="clear" w:color="auto" w:fill="FFFFFF" w:themeFill="background1"/>
            <w:vAlign w:val="center"/>
          </w:tcPr>
          <w:p w14:paraId="1188D187" w14:textId="77777777" w:rsidR="007561F6" w:rsidRPr="00F56651" w:rsidRDefault="007561F6" w:rsidP="007561F6">
            <w:pPr>
              <w:spacing w:line="240" w:lineRule="auto"/>
              <w:rPr>
                <w:rFonts w:cs="Times New Roman"/>
              </w:rPr>
            </w:pPr>
            <w:r w:rsidRPr="00F56651">
              <w:rPr>
                <w:rFonts w:cs="Times New Roman"/>
              </w:rPr>
              <w:t>PCR1</w:t>
            </w:r>
          </w:p>
        </w:tc>
        <w:tc>
          <w:tcPr>
            <w:tcW w:w="861" w:type="dxa"/>
            <w:tcBorders>
              <w:top w:val="single" w:sz="4" w:space="0" w:color="auto"/>
            </w:tcBorders>
            <w:shd w:val="clear" w:color="auto" w:fill="FFFFFF" w:themeFill="background1"/>
          </w:tcPr>
          <w:p w14:paraId="48DAE928" w14:textId="77777777" w:rsidR="007561F6" w:rsidRPr="00F56651" w:rsidRDefault="007561F6" w:rsidP="007561F6">
            <w:pPr>
              <w:spacing w:line="240" w:lineRule="auto"/>
              <w:rPr>
                <w:rFonts w:cs="Times New Roman"/>
              </w:rPr>
            </w:pPr>
            <w:r w:rsidRPr="00F56651">
              <w:rPr>
                <w:rFonts w:cs="Times New Roman"/>
              </w:rPr>
              <w:t>canine</w:t>
            </w:r>
          </w:p>
        </w:tc>
        <w:tc>
          <w:tcPr>
            <w:tcW w:w="986" w:type="dxa"/>
            <w:tcBorders>
              <w:top w:val="single" w:sz="4" w:space="0" w:color="auto"/>
            </w:tcBorders>
            <w:shd w:val="clear" w:color="auto" w:fill="FFFFFF" w:themeFill="background1"/>
          </w:tcPr>
          <w:p w14:paraId="112F7774" w14:textId="43AB65F9" w:rsidR="007561F6" w:rsidRPr="00F56651" w:rsidRDefault="003C4D91" w:rsidP="007561F6">
            <w:pPr>
              <w:spacing w:line="240" w:lineRule="auto"/>
              <w:rPr>
                <w:rFonts w:cs="Times New Roman"/>
              </w:rPr>
            </w:pPr>
            <w:r>
              <w:rPr>
                <w:rFonts w:cs="Times New Roman"/>
              </w:rPr>
              <w:t>−</w:t>
            </w:r>
            <w:r w:rsidR="007561F6" w:rsidRPr="00F56651">
              <w:rPr>
                <w:rFonts w:cs="Times New Roman"/>
              </w:rPr>
              <w:t>11.5</w:t>
            </w:r>
          </w:p>
        </w:tc>
        <w:tc>
          <w:tcPr>
            <w:tcW w:w="994" w:type="dxa"/>
            <w:tcBorders>
              <w:top w:val="single" w:sz="4" w:space="0" w:color="auto"/>
            </w:tcBorders>
            <w:shd w:val="clear" w:color="auto" w:fill="FFFFFF" w:themeFill="background1"/>
          </w:tcPr>
          <w:p w14:paraId="65066166" w14:textId="2173DDD9" w:rsidR="007561F6" w:rsidRPr="00F56651" w:rsidRDefault="003C4D91" w:rsidP="007561F6">
            <w:pPr>
              <w:spacing w:line="240" w:lineRule="auto"/>
              <w:rPr>
                <w:rFonts w:cs="Times New Roman"/>
              </w:rPr>
            </w:pPr>
            <w:r>
              <w:rPr>
                <w:rFonts w:cs="Times New Roman"/>
              </w:rPr>
              <w:t>−</w:t>
            </w:r>
            <w:r w:rsidR="007561F6" w:rsidRPr="00F56651">
              <w:rPr>
                <w:rFonts w:cs="Times New Roman"/>
              </w:rPr>
              <w:t>11.6</w:t>
            </w:r>
          </w:p>
        </w:tc>
        <w:tc>
          <w:tcPr>
            <w:tcW w:w="810" w:type="dxa"/>
            <w:tcBorders>
              <w:top w:val="single" w:sz="4" w:space="0" w:color="auto"/>
            </w:tcBorders>
            <w:shd w:val="clear" w:color="auto" w:fill="FFFFFF" w:themeFill="background1"/>
          </w:tcPr>
          <w:p w14:paraId="40D3721A" w14:textId="75127FE2" w:rsidR="007561F6" w:rsidRPr="00F56651" w:rsidRDefault="003C4D91" w:rsidP="007561F6">
            <w:pPr>
              <w:spacing w:line="240" w:lineRule="auto"/>
              <w:rPr>
                <w:rFonts w:cs="Times New Roman"/>
              </w:rPr>
            </w:pPr>
            <w:r>
              <w:rPr>
                <w:rFonts w:cs="Times New Roman"/>
              </w:rPr>
              <w:t>−</w:t>
            </w:r>
            <w:r w:rsidR="007561F6" w:rsidRPr="00F56651">
              <w:rPr>
                <w:rFonts w:cs="Times New Roman"/>
                <w:color w:val="000000"/>
              </w:rPr>
              <w:t>12.9</w:t>
            </w:r>
          </w:p>
        </w:tc>
        <w:tc>
          <w:tcPr>
            <w:tcW w:w="810" w:type="dxa"/>
            <w:tcBorders>
              <w:top w:val="single" w:sz="4" w:space="0" w:color="auto"/>
            </w:tcBorders>
            <w:shd w:val="clear" w:color="auto" w:fill="FFFFFF" w:themeFill="background1"/>
          </w:tcPr>
          <w:p w14:paraId="0ACD2671" w14:textId="61C0E7D4" w:rsidR="007561F6" w:rsidRPr="00F56651" w:rsidRDefault="003C4D91" w:rsidP="007561F6">
            <w:pPr>
              <w:spacing w:line="240" w:lineRule="auto"/>
              <w:rPr>
                <w:rFonts w:cs="Times New Roman"/>
              </w:rPr>
            </w:pPr>
            <w:r>
              <w:rPr>
                <w:rFonts w:cs="Times New Roman"/>
              </w:rPr>
              <w:t>−</w:t>
            </w:r>
            <w:r w:rsidR="007561F6" w:rsidRPr="00F56651">
              <w:rPr>
                <w:rFonts w:cs="Times New Roman"/>
              </w:rPr>
              <w:t>10.1</w:t>
            </w:r>
          </w:p>
        </w:tc>
        <w:tc>
          <w:tcPr>
            <w:tcW w:w="1080" w:type="dxa"/>
            <w:tcBorders>
              <w:top w:val="single" w:sz="4" w:space="0" w:color="auto"/>
            </w:tcBorders>
            <w:shd w:val="clear" w:color="auto" w:fill="FFFFFF" w:themeFill="background1"/>
          </w:tcPr>
          <w:p w14:paraId="7B486C1A" w14:textId="77777777" w:rsidR="007561F6" w:rsidRPr="00F56651" w:rsidRDefault="007561F6" w:rsidP="007561F6">
            <w:pPr>
              <w:spacing w:line="240" w:lineRule="auto"/>
              <w:rPr>
                <w:rFonts w:cs="Times New Roman"/>
              </w:rPr>
            </w:pPr>
            <w:r w:rsidRPr="00F56651">
              <w:rPr>
                <w:rFonts w:cs="Times New Roman"/>
              </w:rPr>
              <w:t>2.8</w:t>
            </w:r>
          </w:p>
        </w:tc>
        <w:tc>
          <w:tcPr>
            <w:tcW w:w="900" w:type="dxa"/>
            <w:vMerge w:val="restart"/>
            <w:tcBorders>
              <w:top w:val="single" w:sz="4" w:space="0" w:color="auto"/>
            </w:tcBorders>
            <w:shd w:val="clear" w:color="auto" w:fill="FFFFFF" w:themeFill="background1"/>
            <w:vAlign w:val="center"/>
          </w:tcPr>
          <w:p w14:paraId="24682459" w14:textId="77777777" w:rsidR="007561F6" w:rsidRPr="00F56651" w:rsidRDefault="007561F6" w:rsidP="007561F6">
            <w:pPr>
              <w:spacing w:line="240" w:lineRule="auto"/>
              <w:rPr>
                <w:rFonts w:cs="Times New Roman"/>
              </w:rPr>
            </w:pPr>
            <w:r w:rsidRPr="00F56651">
              <w:rPr>
                <w:rFonts w:cs="Times New Roman"/>
              </w:rPr>
              <w:t>0.9</w:t>
            </w:r>
          </w:p>
        </w:tc>
        <w:tc>
          <w:tcPr>
            <w:tcW w:w="990" w:type="dxa"/>
            <w:vMerge w:val="restart"/>
            <w:tcBorders>
              <w:top w:val="single" w:sz="4" w:space="0" w:color="auto"/>
            </w:tcBorders>
            <w:shd w:val="clear" w:color="auto" w:fill="FFFFFF" w:themeFill="background1"/>
            <w:vAlign w:val="center"/>
          </w:tcPr>
          <w:p w14:paraId="4A472A65" w14:textId="77777777" w:rsidR="007561F6" w:rsidRPr="00F56651" w:rsidRDefault="007561F6" w:rsidP="007561F6">
            <w:pPr>
              <w:spacing w:line="240" w:lineRule="auto"/>
              <w:rPr>
                <w:rFonts w:cs="Times New Roman"/>
              </w:rPr>
            </w:pPr>
            <w:r w:rsidRPr="00F56651">
              <w:rPr>
                <w:rFonts w:cs="Times New Roman"/>
              </w:rPr>
              <w:t>0.8</w:t>
            </w:r>
          </w:p>
        </w:tc>
        <w:tc>
          <w:tcPr>
            <w:tcW w:w="900" w:type="dxa"/>
            <w:vMerge w:val="restart"/>
            <w:tcBorders>
              <w:top w:val="single" w:sz="4" w:space="0" w:color="auto"/>
            </w:tcBorders>
            <w:shd w:val="clear" w:color="auto" w:fill="FFFFFF" w:themeFill="background1"/>
            <w:vAlign w:val="center"/>
          </w:tcPr>
          <w:p w14:paraId="27324A25" w14:textId="77777777" w:rsidR="007561F6" w:rsidRPr="00F56651" w:rsidRDefault="007561F6" w:rsidP="007561F6">
            <w:pPr>
              <w:spacing w:line="240" w:lineRule="auto"/>
              <w:rPr>
                <w:rFonts w:cs="Times New Roman"/>
              </w:rPr>
            </w:pPr>
            <w:r w:rsidRPr="00F56651">
              <w:rPr>
                <w:rFonts w:cs="Times New Roman"/>
              </w:rPr>
              <w:t>0.1</w:t>
            </w:r>
          </w:p>
        </w:tc>
      </w:tr>
      <w:tr w:rsidR="00211039" w:rsidRPr="00F56651" w14:paraId="3CB95B21" w14:textId="77777777" w:rsidTr="00211039">
        <w:tc>
          <w:tcPr>
            <w:tcW w:w="1119" w:type="dxa"/>
            <w:vMerge/>
            <w:tcBorders>
              <w:bottom w:val="single" w:sz="4" w:space="0" w:color="auto"/>
            </w:tcBorders>
            <w:shd w:val="clear" w:color="auto" w:fill="FFFFFF" w:themeFill="background1"/>
            <w:vAlign w:val="center"/>
          </w:tcPr>
          <w:p w14:paraId="488C2AB5" w14:textId="77777777" w:rsidR="007561F6" w:rsidRPr="00F56651" w:rsidRDefault="007561F6" w:rsidP="007561F6">
            <w:pPr>
              <w:spacing w:line="240" w:lineRule="auto"/>
              <w:rPr>
                <w:rFonts w:cs="Times New Roman"/>
              </w:rPr>
            </w:pPr>
          </w:p>
        </w:tc>
        <w:tc>
          <w:tcPr>
            <w:tcW w:w="861" w:type="dxa"/>
            <w:tcBorders>
              <w:bottom w:val="single" w:sz="4" w:space="0" w:color="auto"/>
            </w:tcBorders>
            <w:shd w:val="clear" w:color="auto" w:fill="FFFFFF" w:themeFill="background1"/>
          </w:tcPr>
          <w:p w14:paraId="444F43AF" w14:textId="77777777" w:rsidR="007561F6" w:rsidRPr="00F56651" w:rsidRDefault="007561F6" w:rsidP="007561F6">
            <w:pPr>
              <w:spacing w:line="240" w:lineRule="auto"/>
              <w:rPr>
                <w:rFonts w:cs="Times New Roman"/>
              </w:rPr>
            </w:pPr>
            <w:r w:rsidRPr="00F56651">
              <w:rPr>
                <w:rFonts w:cs="Times New Roman"/>
              </w:rPr>
              <w:t>I1 + I2</w:t>
            </w:r>
          </w:p>
        </w:tc>
        <w:tc>
          <w:tcPr>
            <w:tcW w:w="986" w:type="dxa"/>
            <w:tcBorders>
              <w:bottom w:val="single" w:sz="4" w:space="0" w:color="auto"/>
            </w:tcBorders>
            <w:shd w:val="clear" w:color="auto" w:fill="FFFFFF" w:themeFill="background1"/>
          </w:tcPr>
          <w:p w14:paraId="2FE479ED" w14:textId="408A8B0E" w:rsidR="007561F6" w:rsidRPr="00F56651" w:rsidRDefault="003C4D91" w:rsidP="007561F6">
            <w:pPr>
              <w:spacing w:line="240" w:lineRule="auto"/>
              <w:rPr>
                <w:rFonts w:cs="Times New Roman"/>
              </w:rPr>
            </w:pPr>
            <w:r>
              <w:rPr>
                <w:rFonts w:cs="Times New Roman"/>
              </w:rPr>
              <w:t>−</w:t>
            </w:r>
            <w:r w:rsidR="007561F6" w:rsidRPr="00F56651">
              <w:rPr>
                <w:rFonts w:cs="Times New Roman"/>
              </w:rPr>
              <w:t>12.4*</w:t>
            </w:r>
          </w:p>
        </w:tc>
        <w:tc>
          <w:tcPr>
            <w:tcW w:w="994" w:type="dxa"/>
            <w:tcBorders>
              <w:bottom w:val="single" w:sz="4" w:space="0" w:color="auto"/>
            </w:tcBorders>
            <w:shd w:val="clear" w:color="auto" w:fill="FFFFFF" w:themeFill="background1"/>
          </w:tcPr>
          <w:p w14:paraId="6B263B68" w14:textId="1E05662A" w:rsidR="007561F6" w:rsidRPr="00F56651" w:rsidRDefault="003C4D91" w:rsidP="007561F6">
            <w:pPr>
              <w:spacing w:line="240" w:lineRule="auto"/>
              <w:rPr>
                <w:rFonts w:cs="Times New Roman"/>
              </w:rPr>
            </w:pPr>
            <w:r>
              <w:rPr>
                <w:rFonts w:cs="Times New Roman"/>
              </w:rPr>
              <w:t>−</w:t>
            </w:r>
            <w:r w:rsidR="007561F6" w:rsidRPr="00F56651">
              <w:rPr>
                <w:rFonts w:cs="Times New Roman"/>
              </w:rPr>
              <w:t>12.4*</w:t>
            </w:r>
          </w:p>
        </w:tc>
        <w:tc>
          <w:tcPr>
            <w:tcW w:w="810" w:type="dxa"/>
            <w:tcBorders>
              <w:bottom w:val="single" w:sz="4" w:space="0" w:color="auto"/>
            </w:tcBorders>
            <w:shd w:val="clear" w:color="auto" w:fill="FFFFFF" w:themeFill="background1"/>
          </w:tcPr>
          <w:p w14:paraId="34C1FB78" w14:textId="502D1713" w:rsidR="007561F6" w:rsidRPr="00F56651" w:rsidRDefault="003C4D91" w:rsidP="007561F6">
            <w:pPr>
              <w:spacing w:line="240" w:lineRule="auto"/>
              <w:rPr>
                <w:rFonts w:cs="Times New Roman"/>
              </w:rPr>
            </w:pPr>
            <w:r>
              <w:rPr>
                <w:rFonts w:cs="Times New Roman"/>
              </w:rPr>
              <w:t>−</w:t>
            </w:r>
            <w:r w:rsidR="007561F6" w:rsidRPr="00F56651">
              <w:rPr>
                <w:rFonts w:cs="Times New Roman"/>
              </w:rPr>
              <w:t>13.8</w:t>
            </w:r>
          </w:p>
        </w:tc>
        <w:tc>
          <w:tcPr>
            <w:tcW w:w="810" w:type="dxa"/>
            <w:tcBorders>
              <w:bottom w:val="single" w:sz="4" w:space="0" w:color="auto"/>
            </w:tcBorders>
            <w:shd w:val="clear" w:color="auto" w:fill="FFFFFF" w:themeFill="background1"/>
          </w:tcPr>
          <w:p w14:paraId="10D8F9A5" w14:textId="6CDB081F" w:rsidR="007561F6" w:rsidRPr="00F56651" w:rsidRDefault="003C4D91" w:rsidP="007561F6">
            <w:pPr>
              <w:spacing w:line="240" w:lineRule="auto"/>
              <w:rPr>
                <w:rFonts w:cs="Times New Roman"/>
              </w:rPr>
            </w:pPr>
            <w:r>
              <w:rPr>
                <w:rFonts w:cs="Times New Roman"/>
              </w:rPr>
              <w:t>−</w:t>
            </w:r>
            <w:r w:rsidR="007561F6" w:rsidRPr="00F56651">
              <w:rPr>
                <w:rFonts w:cs="Times New Roman"/>
              </w:rPr>
              <w:t>10.9</w:t>
            </w:r>
          </w:p>
        </w:tc>
        <w:tc>
          <w:tcPr>
            <w:tcW w:w="1080" w:type="dxa"/>
            <w:tcBorders>
              <w:bottom w:val="single" w:sz="4" w:space="0" w:color="auto"/>
            </w:tcBorders>
            <w:shd w:val="clear" w:color="auto" w:fill="FFFFFF" w:themeFill="background1"/>
          </w:tcPr>
          <w:p w14:paraId="6EEDFA9E" w14:textId="77777777" w:rsidR="007561F6" w:rsidRPr="00F56651" w:rsidRDefault="007561F6" w:rsidP="007561F6">
            <w:pPr>
              <w:spacing w:line="240" w:lineRule="auto"/>
              <w:rPr>
                <w:rFonts w:cs="Times New Roman"/>
              </w:rPr>
            </w:pPr>
            <w:r w:rsidRPr="00F56651">
              <w:rPr>
                <w:rFonts w:cs="Times New Roman"/>
              </w:rPr>
              <w:t>2.9</w:t>
            </w:r>
          </w:p>
        </w:tc>
        <w:tc>
          <w:tcPr>
            <w:tcW w:w="900" w:type="dxa"/>
            <w:vMerge/>
            <w:tcBorders>
              <w:bottom w:val="single" w:sz="4" w:space="0" w:color="auto"/>
            </w:tcBorders>
            <w:shd w:val="clear" w:color="auto" w:fill="FFFFFF" w:themeFill="background1"/>
            <w:vAlign w:val="center"/>
          </w:tcPr>
          <w:p w14:paraId="3AB46AC5" w14:textId="77777777" w:rsidR="007561F6" w:rsidRPr="00F56651" w:rsidRDefault="007561F6" w:rsidP="007561F6">
            <w:pPr>
              <w:spacing w:line="240" w:lineRule="auto"/>
              <w:rPr>
                <w:rFonts w:cs="Times New Roman"/>
              </w:rPr>
            </w:pPr>
          </w:p>
        </w:tc>
        <w:tc>
          <w:tcPr>
            <w:tcW w:w="990" w:type="dxa"/>
            <w:vMerge/>
            <w:tcBorders>
              <w:bottom w:val="single" w:sz="4" w:space="0" w:color="auto"/>
            </w:tcBorders>
            <w:shd w:val="clear" w:color="auto" w:fill="FFFFFF" w:themeFill="background1"/>
            <w:vAlign w:val="center"/>
          </w:tcPr>
          <w:p w14:paraId="3670ECA5" w14:textId="77777777" w:rsidR="007561F6" w:rsidRPr="00F56651" w:rsidRDefault="007561F6" w:rsidP="007561F6">
            <w:pPr>
              <w:spacing w:line="240" w:lineRule="auto"/>
              <w:rPr>
                <w:rFonts w:cs="Times New Roman"/>
              </w:rPr>
            </w:pPr>
          </w:p>
        </w:tc>
        <w:tc>
          <w:tcPr>
            <w:tcW w:w="900" w:type="dxa"/>
            <w:vMerge/>
            <w:tcBorders>
              <w:bottom w:val="single" w:sz="4" w:space="0" w:color="auto"/>
            </w:tcBorders>
            <w:shd w:val="clear" w:color="auto" w:fill="FFFFFF" w:themeFill="background1"/>
            <w:vAlign w:val="center"/>
          </w:tcPr>
          <w:p w14:paraId="2533510E" w14:textId="77777777" w:rsidR="007561F6" w:rsidRPr="00F56651" w:rsidRDefault="007561F6" w:rsidP="007561F6">
            <w:pPr>
              <w:spacing w:line="240" w:lineRule="auto"/>
              <w:rPr>
                <w:rFonts w:cs="Times New Roman"/>
              </w:rPr>
            </w:pPr>
          </w:p>
        </w:tc>
      </w:tr>
      <w:tr w:rsidR="00211039" w:rsidRPr="00F56651" w14:paraId="048C1981" w14:textId="77777777" w:rsidTr="00211039">
        <w:tc>
          <w:tcPr>
            <w:tcW w:w="1119" w:type="dxa"/>
            <w:vMerge w:val="restart"/>
            <w:tcBorders>
              <w:top w:val="single" w:sz="4" w:space="0" w:color="auto"/>
            </w:tcBorders>
            <w:shd w:val="clear" w:color="auto" w:fill="FFFFFF" w:themeFill="background1"/>
            <w:vAlign w:val="center"/>
          </w:tcPr>
          <w:p w14:paraId="2DE9E10C" w14:textId="77777777" w:rsidR="007561F6" w:rsidRPr="00F56651" w:rsidRDefault="007561F6" w:rsidP="007561F6">
            <w:pPr>
              <w:spacing w:before="120" w:line="240" w:lineRule="auto"/>
              <w:rPr>
                <w:rFonts w:cs="Times New Roman"/>
              </w:rPr>
            </w:pPr>
            <w:r w:rsidRPr="00F56651">
              <w:rPr>
                <w:rFonts w:cs="Times New Roman"/>
              </w:rPr>
              <w:t xml:space="preserve">PCR2 </w:t>
            </w:r>
          </w:p>
        </w:tc>
        <w:tc>
          <w:tcPr>
            <w:tcW w:w="861" w:type="dxa"/>
            <w:tcBorders>
              <w:top w:val="single" w:sz="4" w:space="0" w:color="auto"/>
            </w:tcBorders>
            <w:shd w:val="clear" w:color="auto" w:fill="FFFFFF" w:themeFill="background1"/>
          </w:tcPr>
          <w:p w14:paraId="006B5DF5" w14:textId="77777777" w:rsidR="007561F6" w:rsidRPr="00F56651" w:rsidRDefault="007561F6" w:rsidP="007561F6">
            <w:pPr>
              <w:spacing w:before="120" w:line="240" w:lineRule="auto"/>
              <w:rPr>
                <w:rFonts w:cs="Times New Roman"/>
              </w:rPr>
            </w:pPr>
            <w:r w:rsidRPr="00F56651">
              <w:rPr>
                <w:rFonts w:cs="Times New Roman"/>
              </w:rPr>
              <w:t>canine</w:t>
            </w:r>
          </w:p>
        </w:tc>
        <w:tc>
          <w:tcPr>
            <w:tcW w:w="986" w:type="dxa"/>
            <w:tcBorders>
              <w:top w:val="single" w:sz="4" w:space="0" w:color="auto"/>
            </w:tcBorders>
            <w:shd w:val="clear" w:color="auto" w:fill="FFFFFF" w:themeFill="background1"/>
          </w:tcPr>
          <w:p w14:paraId="32003641" w14:textId="29D36D65"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9.7</w:t>
            </w:r>
          </w:p>
        </w:tc>
        <w:tc>
          <w:tcPr>
            <w:tcW w:w="994" w:type="dxa"/>
            <w:tcBorders>
              <w:top w:val="single" w:sz="4" w:space="0" w:color="auto"/>
            </w:tcBorders>
            <w:shd w:val="clear" w:color="auto" w:fill="FFFFFF" w:themeFill="background1"/>
          </w:tcPr>
          <w:p w14:paraId="4D2E2292" w14:textId="78F489AA"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10.0</w:t>
            </w:r>
          </w:p>
        </w:tc>
        <w:tc>
          <w:tcPr>
            <w:tcW w:w="810" w:type="dxa"/>
            <w:tcBorders>
              <w:top w:val="single" w:sz="4" w:space="0" w:color="auto"/>
            </w:tcBorders>
            <w:shd w:val="clear" w:color="auto" w:fill="FFFFFF" w:themeFill="background1"/>
          </w:tcPr>
          <w:p w14:paraId="7DF120E7" w14:textId="5852263C"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12.3</w:t>
            </w:r>
          </w:p>
        </w:tc>
        <w:tc>
          <w:tcPr>
            <w:tcW w:w="810" w:type="dxa"/>
            <w:tcBorders>
              <w:top w:val="single" w:sz="4" w:space="0" w:color="auto"/>
            </w:tcBorders>
            <w:shd w:val="clear" w:color="auto" w:fill="FFFFFF" w:themeFill="background1"/>
          </w:tcPr>
          <w:p w14:paraId="2688289E" w14:textId="62919FCA"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7.7</w:t>
            </w:r>
          </w:p>
        </w:tc>
        <w:tc>
          <w:tcPr>
            <w:tcW w:w="1080" w:type="dxa"/>
            <w:tcBorders>
              <w:top w:val="single" w:sz="4" w:space="0" w:color="auto"/>
            </w:tcBorders>
            <w:shd w:val="clear" w:color="auto" w:fill="FFFFFF" w:themeFill="background1"/>
          </w:tcPr>
          <w:p w14:paraId="508B020D" w14:textId="77777777" w:rsidR="007561F6" w:rsidRPr="00F56651" w:rsidRDefault="007561F6" w:rsidP="007561F6">
            <w:pPr>
              <w:spacing w:before="120" w:line="240" w:lineRule="auto"/>
              <w:rPr>
                <w:rFonts w:cs="Times New Roman"/>
              </w:rPr>
            </w:pPr>
            <w:r w:rsidRPr="00F56651">
              <w:rPr>
                <w:rFonts w:cs="Times New Roman"/>
              </w:rPr>
              <w:t>4.6</w:t>
            </w:r>
          </w:p>
        </w:tc>
        <w:tc>
          <w:tcPr>
            <w:tcW w:w="900" w:type="dxa"/>
            <w:vMerge w:val="restart"/>
            <w:tcBorders>
              <w:top w:val="single" w:sz="4" w:space="0" w:color="auto"/>
            </w:tcBorders>
            <w:shd w:val="clear" w:color="auto" w:fill="FFFFFF" w:themeFill="background1"/>
            <w:vAlign w:val="center"/>
          </w:tcPr>
          <w:p w14:paraId="7FDA7F97" w14:textId="77777777" w:rsidR="007561F6" w:rsidRPr="00F56651" w:rsidRDefault="007561F6" w:rsidP="007561F6">
            <w:pPr>
              <w:spacing w:before="120" w:line="240" w:lineRule="auto"/>
              <w:rPr>
                <w:rFonts w:cs="Times New Roman"/>
              </w:rPr>
            </w:pPr>
            <w:r w:rsidRPr="00F56651">
              <w:rPr>
                <w:rFonts w:cs="Times New Roman"/>
              </w:rPr>
              <w:t>1.4</w:t>
            </w:r>
          </w:p>
        </w:tc>
        <w:tc>
          <w:tcPr>
            <w:tcW w:w="990" w:type="dxa"/>
            <w:vMerge w:val="restart"/>
            <w:tcBorders>
              <w:top w:val="single" w:sz="4" w:space="0" w:color="auto"/>
            </w:tcBorders>
            <w:shd w:val="clear" w:color="auto" w:fill="FFFFFF" w:themeFill="background1"/>
            <w:vAlign w:val="center"/>
          </w:tcPr>
          <w:p w14:paraId="7C5DC002" w14:textId="77777777" w:rsidR="007561F6" w:rsidRPr="00F56651" w:rsidRDefault="007561F6" w:rsidP="007561F6">
            <w:pPr>
              <w:spacing w:before="120" w:line="240" w:lineRule="auto"/>
              <w:rPr>
                <w:rFonts w:cs="Times New Roman"/>
              </w:rPr>
            </w:pPr>
            <w:r w:rsidRPr="00F56651">
              <w:rPr>
                <w:rFonts w:cs="Times New Roman"/>
              </w:rPr>
              <w:t>1.1</w:t>
            </w:r>
          </w:p>
        </w:tc>
        <w:tc>
          <w:tcPr>
            <w:tcW w:w="900" w:type="dxa"/>
            <w:vMerge w:val="restart"/>
            <w:tcBorders>
              <w:top w:val="single" w:sz="4" w:space="0" w:color="auto"/>
            </w:tcBorders>
            <w:shd w:val="clear" w:color="auto" w:fill="FFFFFF" w:themeFill="background1"/>
            <w:vAlign w:val="center"/>
          </w:tcPr>
          <w:p w14:paraId="339C0C2E" w14:textId="77777777" w:rsidR="007561F6" w:rsidRPr="00F56651" w:rsidRDefault="007561F6" w:rsidP="007561F6">
            <w:pPr>
              <w:spacing w:before="120" w:line="240" w:lineRule="auto"/>
              <w:rPr>
                <w:rFonts w:cs="Times New Roman"/>
              </w:rPr>
            </w:pPr>
            <w:r w:rsidRPr="00F56651">
              <w:rPr>
                <w:rFonts w:cs="Times New Roman"/>
              </w:rPr>
              <w:t>0.4</w:t>
            </w:r>
          </w:p>
        </w:tc>
      </w:tr>
      <w:tr w:rsidR="00211039" w:rsidRPr="00F56651" w14:paraId="5BF65E49" w14:textId="77777777" w:rsidTr="00211039">
        <w:tc>
          <w:tcPr>
            <w:tcW w:w="1119" w:type="dxa"/>
            <w:vMerge/>
            <w:tcBorders>
              <w:bottom w:val="single" w:sz="4" w:space="0" w:color="auto"/>
            </w:tcBorders>
            <w:shd w:val="clear" w:color="auto" w:fill="FFFFFF" w:themeFill="background1"/>
            <w:vAlign w:val="center"/>
          </w:tcPr>
          <w:p w14:paraId="0DBB26B5" w14:textId="77777777" w:rsidR="007561F6" w:rsidRPr="00F56651" w:rsidRDefault="007561F6" w:rsidP="007561F6">
            <w:pPr>
              <w:spacing w:line="240" w:lineRule="auto"/>
              <w:rPr>
                <w:rFonts w:cs="Times New Roman"/>
              </w:rPr>
            </w:pPr>
          </w:p>
        </w:tc>
        <w:tc>
          <w:tcPr>
            <w:tcW w:w="861" w:type="dxa"/>
            <w:tcBorders>
              <w:bottom w:val="single" w:sz="4" w:space="0" w:color="auto"/>
            </w:tcBorders>
            <w:shd w:val="clear" w:color="auto" w:fill="FFFFFF" w:themeFill="background1"/>
          </w:tcPr>
          <w:p w14:paraId="5FC8B41C" w14:textId="77777777" w:rsidR="007561F6" w:rsidRPr="00F56651" w:rsidRDefault="007561F6" w:rsidP="007561F6">
            <w:pPr>
              <w:spacing w:line="240" w:lineRule="auto"/>
              <w:rPr>
                <w:rFonts w:cs="Times New Roman"/>
              </w:rPr>
            </w:pPr>
            <w:r w:rsidRPr="00F56651">
              <w:rPr>
                <w:rFonts w:cs="Times New Roman"/>
              </w:rPr>
              <w:t>I1 + I2</w:t>
            </w:r>
          </w:p>
        </w:tc>
        <w:tc>
          <w:tcPr>
            <w:tcW w:w="986" w:type="dxa"/>
            <w:tcBorders>
              <w:bottom w:val="single" w:sz="4" w:space="0" w:color="auto"/>
            </w:tcBorders>
            <w:shd w:val="clear" w:color="auto" w:fill="FFFFFF" w:themeFill="background1"/>
          </w:tcPr>
          <w:p w14:paraId="31B28584" w14:textId="07ABF9FA" w:rsidR="007561F6" w:rsidRPr="00F56651" w:rsidRDefault="003C4D91" w:rsidP="007561F6">
            <w:pPr>
              <w:spacing w:line="240" w:lineRule="auto"/>
              <w:rPr>
                <w:rFonts w:cs="Times New Roman"/>
              </w:rPr>
            </w:pPr>
            <w:r>
              <w:rPr>
                <w:rFonts w:cs="Times New Roman"/>
              </w:rPr>
              <w:t>−</w:t>
            </w:r>
            <w:r w:rsidR="007561F6" w:rsidRPr="00F56651">
              <w:rPr>
                <w:rFonts w:cs="Times New Roman"/>
              </w:rPr>
              <w:t>11.1*</w:t>
            </w:r>
          </w:p>
        </w:tc>
        <w:tc>
          <w:tcPr>
            <w:tcW w:w="994" w:type="dxa"/>
            <w:tcBorders>
              <w:bottom w:val="single" w:sz="4" w:space="0" w:color="auto"/>
            </w:tcBorders>
            <w:shd w:val="clear" w:color="auto" w:fill="FFFFFF" w:themeFill="background1"/>
          </w:tcPr>
          <w:p w14:paraId="28B8EFA6" w14:textId="6BA1AD61" w:rsidR="007561F6" w:rsidRPr="00F56651" w:rsidRDefault="003C4D91" w:rsidP="007561F6">
            <w:pPr>
              <w:spacing w:line="240" w:lineRule="auto"/>
              <w:rPr>
                <w:rFonts w:cs="Times New Roman"/>
              </w:rPr>
            </w:pPr>
            <w:r>
              <w:rPr>
                <w:rFonts w:cs="Times New Roman"/>
              </w:rPr>
              <w:t>−</w:t>
            </w:r>
            <w:r w:rsidR="007561F6" w:rsidRPr="00F56651">
              <w:rPr>
                <w:rFonts w:cs="Times New Roman"/>
              </w:rPr>
              <w:t>11.1*</w:t>
            </w:r>
          </w:p>
        </w:tc>
        <w:tc>
          <w:tcPr>
            <w:tcW w:w="810" w:type="dxa"/>
            <w:tcBorders>
              <w:bottom w:val="single" w:sz="4" w:space="0" w:color="auto"/>
            </w:tcBorders>
            <w:shd w:val="clear" w:color="auto" w:fill="FFFFFF" w:themeFill="background1"/>
          </w:tcPr>
          <w:p w14:paraId="59CE6CD9" w14:textId="34855FF8" w:rsidR="007561F6" w:rsidRPr="00F56651" w:rsidRDefault="003C4D91" w:rsidP="007561F6">
            <w:pPr>
              <w:spacing w:line="240" w:lineRule="auto"/>
              <w:rPr>
                <w:rFonts w:cs="Times New Roman"/>
              </w:rPr>
            </w:pPr>
            <w:r>
              <w:rPr>
                <w:rFonts w:cs="Times New Roman"/>
              </w:rPr>
              <w:t>−</w:t>
            </w:r>
            <w:r w:rsidR="007561F6" w:rsidRPr="00F56651">
              <w:rPr>
                <w:rFonts w:cs="Times New Roman"/>
              </w:rPr>
              <w:t>13.3</w:t>
            </w:r>
          </w:p>
        </w:tc>
        <w:tc>
          <w:tcPr>
            <w:tcW w:w="810" w:type="dxa"/>
            <w:tcBorders>
              <w:bottom w:val="single" w:sz="4" w:space="0" w:color="auto"/>
            </w:tcBorders>
            <w:shd w:val="clear" w:color="auto" w:fill="FFFFFF" w:themeFill="background1"/>
          </w:tcPr>
          <w:p w14:paraId="5F32ADDA" w14:textId="7BBF7F23" w:rsidR="007561F6" w:rsidRPr="00F56651" w:rsidRDefault="003C4D91" w:rsidP="007561F6">
            <w:pPr>
              <w:spacing w:line="240" w:lineRule="auto"/>
              <w:rPr>
                <w:rFonts w:cs="Times New Roman"/>
              </w:rPr>
            </w:pPr>
            <w:r>
              <w:rPr>
                <w:rFonts w:cs="Times New Roman"/>
              </w:rPr>
              <w:t>−</w:t>
            </w:r>
            <w:r w:rsidR="007561F6" w:rsidRPr="00F56651">
              <w:rPr>
                <w:rFonts w:cs="Times New Roman"/>
              </w:rPr>
              <w:t>9.1</w:t>
            </w:r>
          </w:p>
        </w:tc>
        <w:tc>
          <w:tcPr>
            <w:tcW w:w="1080" w:type="dxa"/>
            <w:tcBorders>
              <w:bottom w:val="single" w:sz="4" w:space="0" w:color="auto"/>
            </w:tcBorders>
            <w:shd w:val="clear" w:color="auto" w:fill="FFFFFF" w:themeFill="background1"/>
          </w:tcPr>
          <w:p w14:paraId="3644690D" w14:textId="77777777" w:rsidR="007561F6" w:rsidRPr="00F56651" w:rsidRDefault="007561F6" w:rsidP="007561F6">
            <w:pPr>
              <w:spacing w:line="240" w:lineRule="auto"/>
              <w:rPr>
                <w:rFonts w:cs="Times New Roman"/>
              </w:rPr>
            </w:pPr>
            <w:r w:rsidRPr="00F56651">
              <w:rPr>
                <w:rFonts w:cs="Times New Roman"/>
              </w:rPr>
              <w:t>4.2</w:t>
            </w:r>
          </w:p>
        </w:tc>
        <w:tc>
          <w:tcPr>
            <w:tcW w:w="900" w:type="dxa"/>
            <w:vMerge/>
            <w:tcBorders>
              <w:bottom w:val="single" w:sz="4" w:space="0" w:color="auto"/>
            </w:tcBorders>
            <w:shd w:val="clear" w:color="auto" w:fill="FFFFFF" w:themeFill="background1"/>
            <w:vAlign w:val="center"/>
          </w:tcPr>
          <w:p w14:paraId="797EDDED" w14:textId="77777777" w:rsidR="007561F6" w:rsidRPr="00F56651" w:rsidRDefault="007561F6" w:rsidP="007561F6">
            <w:pPr>
              <w:spacing w:line="240" w:lineRule="auto"/>
              <w:rPr>
                <w:rFonts w:cs="Times New Roman"/>
              </w:rPr>
            </w:pPr>
          </w:p>
        </w:tc>
        <w:tc>
          <w:tcPr>
            <w:tcW w:w="990" w:type="dxa"/>
            <w:vMerge/>
            <w:tcBorders>
              <w:bottom w:val="single" w:sz="4" w:space="0" w:color="auto"/>
            </w:tcBorders>
            <w:shd w:val="clear" w:color="auto" w:fill="FFFFFF" w:themeFill="background1"/>
            <w:vAlign w:val="center"/>
          </w:tcPr>
          <w:p w14:paraId="1314D4DF" w14:textId="77777777" w:rsidR="007561F6" w:rsidRPr="00F56651" w:rsidRDefault="007561F6" w:rsidP="007561F6">
            <w:pPr>
              <w:spacing w:line="240" w:lineRule="auto"/>
              <w:rPr>
                <w:rFonts w:cs="Times New Roman"/>
              </w:rPr>
            </w:pPr>
          </w:p>
        </w:tc>
        <w:tc>
          <w:tcPr>
            <w:tcW w:w="900" w:type="dxa"/>
            <w:vMerge/>
            <w:tcBorders>
              <w:bottom w:val="single" w:sz="4" w:space="0" w:color="auto"/>
            </w:tcBorders>
            <w:shd w:val="clear" w:color="auto" w:fill="FFFFFF" w:themeFill="background1"/>
            <w:vAlign w:val="center"/>
          </w:tcPr>
          <w:p w14:paraId="21372796" w14:textId="77777777" w:rsidR="007561F6" w:rsidRPr="00F56651" w:rsidRDefault="007561F6" w:rsidP="007561F6">
            <w:pPr>
              <w:spacing w:line="240" w:lineRule="auto"/>
              <w:rPr>
                <w:rFonts w:cs="Times New Roman"/>
              </w:rPr>
            </w:pPr>
          </w:p>
        </w:tc>
      </w:tr>
      <w:tr w:rsidR="00211039" w:rsidRPr="00F56651" w14:paraId="1E6F13C5" w14:textId="77777777" w:rsidTr="00211039">
        <w:tc>
          <w:tcPr>
            <w:tcW w:w="1119" w:type="dxa"/>
            <w:vMerge w:val="restart"/>
            <w:tcBorders>
              <w:top w:val="single" w:sz="4" w:space="0" w:color="auto"/>
            </w:tcBorders>
            <w:shd w:val="clear" w:color="auto" w:fill="FFFFFF" w:themeFill="background1"/>
            <w:vAlign w:val="center"/>
          </w:tcPr>
          <w:p w14:paraId="158C0A96" w14:textId="77777777" w:rsidR="007561F6" w:rsidRPr="00F56651" w:rsidRDefault="007561F6" w:rsidP="007561F6">
            <w:pPr>
              <w:spacing w:before="120" w:line="240" w:lineRule="auto"/>
              <w:rPr>
                <w:rFonts w:cs="Times New Roman"/>
              </w:rPr>
            </w:pPr>
            <w:r w:rsidRPr="00F56651">
              <w:rPr>
                <w:rFonts w:cs="Times New Roman"/>
              </w:rPr>
              <w:t>PCR3</w:t>
            </w:r>
          </w:p>
        </w:tc>
        <w:tc>
          <w:tcPr>
            <w:tcW w:w="861" w:type="dxa"/>
            <w:tcBorders>
              <w:top w:val="single" w:sz="4" w:space="0" w:color="auto"/>
            </w:tcBorders>
            <w:shd w:val="clear" w:color="auto" w:fill="FFFFFF" w:themeFill="background1"/>
          </w:tcPr>
          <w:p w14:paraId="387EDDD5" w14:textId="77777777" w:rsidR="007561F6" w:rsidRPr="00F56651" w:rsidRDefault="007561F6" w:rsidP="007561F6">
            <w:pPr>
              <w:spacing w:before="120" w:line="240" w:lineRule="auto"/>
              <w:rPr>
                <w:rFonts w:cs="Times New Roman"/>
              </w:rPr>
            </w:pPr>
            <w:r w:rsidRPr="00F56651">
              <w:rPr>
                <w:rFonts w:cs="Times New Roman"/>
              </w:rPr>
              <w:t>canine</w:t>
            </w:r>
          </w:p>
        </w:tc>
        <w:tc>
          <w:tcPr>
            <w:tcW w:w="986" w:type="dxa"/>
            <w:tcBorders>
              <w:top w:val="single" w:sz="4" w:space="0" w:color="auto"/>
            </w:tcBorders>
            <w:shd w:val="clear" w:color="auto" w:fill="FFFFFF" w:themeFill="background1"/>
          </w:tcPr>
          <w:p w14:paraId="7610F6D6" w14:textId="7C7D5DF1"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9.1</w:t>
            </w:r>
          </w:p>
        </w:tc>
        <w:tc>
          <w:tcPr>
            <w:tcW w:w="994" w:type="dxa"/>
            <w:tcBorders>
              <w:top w:val="single" w:sz="4" w:space="0" w:color="auto"/>
            </w:tcBorders>
            <w:shd w:val="clear" w:color="auto" w:fill="FFFFFF" w:themeFill="background1"/>
          </w:tcPr>
          <w:p w14:paraId="03DA745F" w14:textId="7089ED0B"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9.5</w:t>
            </w:r>
          </w:p>
        </w:tc>
        <w:tc>
          <w:tcPr>
            <w:tcW w:w="810" w:type="dxa"/>
            <w:tcBorders>
              <w:top w:val="single" w:sz="4" w:space="0" w:color="auto"/>
            </w:tcBorders>
            <w:shd w:val="clear" w:color="auto" w:fill="FFFFFF" w:themeFill="background1"/>
          </w:tcPr>
          <w:p w14:paraId="6EAF011A" w14:textId="7657C0FE"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11.3</w:t>
            </w:r>
          </w:p>
        </w:tc>
        <w:tc>
          <w:tcPr>
            <w:tcW w:w="810" w:type="dxa"/>
            <w:tcBorders>
              <w:top w:val="single" w:sz="4" w:space="0" w:color="auto"/>
            </w:tcBorders>
            <w:shd w:val="clear" w:color="auto" w:fill="FFFFFF" w:themeFill="background1"/>
          </w:tcPr>
          <w:p w14:paraId="4ACA432C" w14:textId="1F93D62C"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6.2</w:t>
            </w:r>
          </w:p>
        </w:tc>
        <w:tc>
          <w:tcPr>
            <w:tcW w:w="1080" w:type="dxa"/>
            <w:tcBorders>
              <w:top w:val="single" w:sz="4" w:space="0" w:color="auto"/>
            </w:tcBorders>
            <w:shd w:val="clear" w:color="auto" w:fill="FFFFFF" w:themeFill="background1"/>
          </w:tcPr>
          <w:p w14:paraId="4C7FCB38" w14:textId="77777777" w:rsidR="007561F6" w:rsidRPr="00F56651" w:rsidRDefault="007561F6" w:rsidP="007561F6">
            <w:pPr>
              <w:spacing w:before="120" w:line="240" w:lineRule="auto"/>
              <w:rPr>
                <w:rFonts w:cs="Times New Roman"/>
              </w:rPr>
            </w:pPr>
            <w:r w:rsidRPr="00F56651">
              <w:rPr>
                <w:rFonts w:cs="Times New Roman"/>
              </w:rPr>
              <w:t>5.1</w:t>
            </w:r>
          </w:p>
        </w:tc>
        <w:tc>
          <w:tcPr>
            <w:tcW w:w="900" w:type="dxa"/>
            <w:vMerge w:val="restart"/>
            <w:tcBorders>
              <w:top w:val="single" w:sz="4" w:space="0" w:color="auto"/>
            </w:tcBorders>
            <w:shd w:val="clear" w:color="auto" w:fill="FFFFFF" w:themeFill="background1"/>
            <w:vAlign w:val="center"/>
          </w:tcPr>
          <w:p w14:paraId="5DA4142F" w14:textId="77777777" w:rsidR="007561F6" w:rsidRPr="00F56651" w:rsidRDefault="007561F6" w:rsidP="007561F6">
            <w:pPr>
              <w:spacing w:before="120" w:line="240" w:lineRule="auto"/>
              <w:rPr>
                <w:rFonts w:cs="Times New Roman"/>
              </w:rPr>
            </w:pPr>
            <w:r w:rsidRPr="00F56651">
              <w:rPr>
                <w:rFonts w:cs="Times New Roman"/>
              </w:rPr>
              <w:t>1.0</w:t>
            </w:r>
          </w:p>
        </w:tc>
        <w:tc>
          <w:tcPr>
            <w:tcW w:w="990" w:type="dxa"/>
            <w:vMerge w:val="restart"/>
            <w:tcBorders>
              <w:top w:val="single" w:sz="4" w:space="0" w:color="auto"/>
            </w:tcBorders>
            <w:shd w:val="clear" w:color="auto" w:fill="FFFFFF" w:themeFill="background1"/>
            <w:vAlign w:val="center"/>
          </w:tcPr>
          <w:p w14:paraId="7AA73E0A" w14:textId="77777777" w:rsidR="007561F6" w:rsidRPr="00F56651" w:rsidRDefault="007561F6" w:rsidP="007561F6">
            <w:pPr>
              <w:spacing w:before="120" w:line="240" w:lineRule="auto"/>
              <w:rPr>
                <w:rFonts w:cs="Times New Roman"/>
              </w:rPr>
            </w:pPr>
            <w:r w:rsidRPr="00F56651">
              <w:rPr>
                <w:rFonts w:cs="Times New Roman"/>
              </w:rPr>
              <w:t>0.5</w:t>
            </w:r>
          </w:p>
        </w:tc>
        <w:tc>
          <w:tcPr>
            <w:tcW w:w="900" w:type="dxa"/>
            <w:vMerge w:val="restart"/>
            <w:tcBorders>
              <w:top w:val="single" w:sz="4" w:space="0" w:color="auto"/>
            </w:tcBorders>
            <w:shd w:val="clear" w:color="auto" w:fill="FFFFFF" w:themeFill="background1"/>
            <w:vAlign w:val="center"/>
          </w:tcPr>
          <w:p w14:paraId="7D040635" w14:textId="77777777" w:rsidR="007561F6" w:rsidRPr="00F56651" w:rsidRDefault="007561F6" w:rsidP="007561F6">
            <w:pPr>
              <w:spacing w:before="120" w:line="240" w:lineRule="auto"/>
              <w:rPr>
                <w:rFonts w:cs="Times New Roman"/>
              </w:rPr>
            </w:pPr>
            <w:r w:rsidRPr="00F56651">
              <w:rPr>
                <w:rFonts w:cs="Times New Roman"/>
              </w:rPr>
              <w:t>0.3</w:t>
            </w:r>
          </w:p>
        </w:tc>
      </w:tr>
      <w:tr w:rsidR="00211039" w:rsidRPr="00F56651" w14:paraId="407189C6" w14:textId="77777777" w:rsidTr="00211039">
        <w:tc>
          <w:tcPr>
            <w:tcW w:w="1119" w:type="dxa"/>
            <w:vMerge/>
            <w:tcBorders>
              <w:bottom w:val="single" w:sz="4" w:space="0" w:color="auto"/>
            </w:tcBorders>
            <w:shd w:val="clear" w:color="auto" w:fill="FFFFFF" w:themeFill="background1"/>
            <w:vAlign w:val="center"/>
          </w:tcPr>
          <w:p w14:paraId="2656316D" w14:textId="77777777" w:rsidR="007561F6" w:rsidRPr="00F56651" w:rsidRDefault="007561F6" w:rsidP="007561F6">
            <w:pPr>
              <w:spacing w:line="240" w:lineRule="auto"/>
              <w:rPr>
                <w:rFonts w:cs="Times New Roman"/>
              </w:rPr>
            </w:pPr>
          </w:p>
        </w:tc>
        <w:tc>
          <w:tcPr>
            <w:tcW w:w="861" w:type="dxa"/>
            <w:tcBorders>
              <w:bottom w:val="single" w:sz="4" w:space="0" w:color="auto"/>
            </w:tcBorders>
            <w:shd w:val="clear" w:color="auto" w:fill="FFFFFF" w:themeFill="background1"/>
          </w:tcPr>
          <w:p w14:paraId="53B2F9AA" w14:textId="77777777" w:rsidR="007561F6" w:rsidRPr="00F56651" w:rsidRDefault="007561F6" w:rsidP="007561F6">
            <w:pPr>
              <w:spacing w:line="240" w:lineRule="auto"/>
              <w:rPr>
                <w:rFonts w:cs="Times New Roman"/>
              </w:rPr>
            </w:pPr>
            <w:r w:rsidRPr="00F56651">
              <w:rPr>
                <w:rFonts w:cs="Times New Roman"/>
              </w:rPr>
              <w:t>I1 + I2</w:t>
            </w:r>
          </w:p>
        </w:tc>
        <w:tc>
          <w:tcPr>
            <w:tcW w:w="986" w:type="dxa"/>
            <w:tcBorders>
              <w:bottom w:val="single" w:sz="4" w:space="0" w:color="auto"/>
            </w:tcBorders>
            <w:shd w:val="clear" w:color="auto" w:fill="FFFFFF" w:themeFill="background1"/>
          </w:tcPr>
          <w:p w14:paraId="1420CB26" w14:textId="058C203E" w:rsidR="007561F6" w:rsidRPr="00F56651" w:rsidRDefault="003C4D91" w:rsidP="007561F6">
            <w:pPr>
              <w:spacing w:line="240" w:lineRule="auto"/>
              <w:rPr>
                <w:rFonts w:cs="Times New Roman"/>
              </w:rPr>
            </w:pPr>
            <w:r>
              <w:rPr>
                <w:rFonts w:cs="Times New Roman"/>
              </w:rPr>
              <w:t>−</w:t>
            </w:r>
            <w:r w:rsidR="007561F6" w:rsidRPr="00F56651">
              <w:rPr>
                <w:rFonts w:cs="Times New Roman"/>
              </w:rPr>
              <w:t>10.1*</w:t>
            </w:r>
          </w:p>
        </w:tc>
        <w:tc>
          <w:tcPr>
            <w:tcW w:w="994" w:type="dxa"/>
            <w:tcBorders>
              <w:bottom w:val="single" w:sz="4" w:space="0" w:color="auto"/>
            </w:tcBorders>
            <w:shd w:val="clear" w:color="auto" w:fill="FFFFFF" w:themeFill="background1"/>
          </w:tcPr>
          <w:p w14:paraId="491E22DB" w14:textId="6BBD9E39" w:rsidR="007561F6" w:rsidRPr="00F56651" w:rsidRDefault="003C4D91" w:rsidP="007561F6">
            <w:pPr>
              <w:spacing w:line="240" w:lineRule="auto"/>
              <w:rPr>
                <w:rFonts w:cs="Times New Roman"/>
              </w:rPr>
            </w:pPr>
            <w:r>
              <w:rPr>
                <w:rFonts w:cs="Times New Roman"/>
              </w:rPr>
              <w:t>−</w:t>
            </w:r>
            <w:r w:rsidR="007561F6" w:rsidRPr="00F56651">
              <w:rPr>
                <w:rFonts w:cs="Times New Roman"/>
              </w:rPr>
              <w:t>10.0*</w:t>
            </w:r>
          </w:p>
        </w:tc>
        <w:tc>
          <w:tcPr>
            <w:tcW w:w="810" w:type="dxa"/>
            <w:tcBorders>
              <w:bottom w:val="single" w:sz="4" w:space="0" w:color="auto"/>
            </w:tcBorders>
            <w:shd w:val="clear" w:color="auto" w:fill="FFFFFF" w:themeFill="background1"/>
          </w:tcPr>
          <w:p w14:paraId="242C124A" w14:textId="646BD748" w:rsidR="007561F6" w:rsidRPr="00F56651" w:rsidRDefault="003C4D91" w:rsidP="007561F6">
            <w:pPr>
              <w:spacing w:line="240" w:lineRule="auto"/>
              <w:rPr>
                <w:rFonts w:cs="Times New Roman"/>
              </w:rPr>
            </w:pPr>
            <w:r>
              <w:rPr>
                <w:rFonts w:cs="Times New Roman"/>
              </w:rPr>
              <w:t>−</w:t>
            </w:r>
            <w:r w:rsidR="007561F6" w:rsidRPr="00F56651">
              <w:rPr>
                <w:rFonts w:cs="Times New Roman"/>
              </w:rPr>
              <w:t>12.5</w:t>
            </w:r>
          </w:p>
        </w:tc>
        <w:tc>
          <w:tcPr>
            <w:tcW w:w="810" w:type="dxa"/>
            <w:tcBorders>
              <w:bottom w:val="single" w:sz="4" w:space="0" w:color="auto"/>
            </w:tcBorders>
            <w:shd w:val="clear" w:color="auto" w:fill="FFFFFF" w:themeFill="background1"/>
          </w:tcPr>
          <w:p w14:paraId="49C6557B" w14:textId="182ED8A0" w:rsidR="007561F6" w:rsidRPr="00F56651" w:rsidRDefault="003C4D91" w:rsidP="007561F6">
            <w:pPr>
              <w:spacing w:line="240" w:lineRule="auto"/>
              <w:rPr>
                <w:rFonts w:cs="Times New Roman"/>
              </w:rPr>
            </w:pPr>
            <w:r>
              <w:rPr>
                <w:rFonts w:cs="Times New Roman"/>
              </w:rPr>
              <w:t>−</w:t>
            </w:r>
            <w:r w:rsidR="007561F6" w:rsidRPr="00F56651">
              <w:rPr>
                <w:rFonts w:cs="Times New Roman"/>
              </w:rPr>
              <w:t>7.7</w:t>
            </w:r>
          </w:p>
        </w:tc>
        <w:tc>
          <w:tcPr>
            <w:tcW w:w="1080" w:type="dxa"/>
            <w:tcBorders>
              <w:bottom w:val="single" w:sz="4" w:space="0" w:color="auto"/>
            </w:tcBorders>
            <w:shd w:val="clear" w:color="auto" w:fill="FFFFFF" w:themeFill="background1"/>
          </w:tcPr>
          <w:p w14:paraId="58CA3D27" w14:textId="77777777" w:rsidR="007561F6" w:rsidRPr="00F56651" w:rsidRDefault="007561F6" w:rsidP="007561F6">
            <w:pPr>
              <w:spacing w:line="240" w:lineRule="auto"/>
              <w:rPr>
                <w:rFonts w:cs="Times New Roman"/>
              </w:rPr>
            </w:pPr>
            <w:r w:rsidRPr="00F56651">
              <w:rPr>
                <w:rFonts w:cs="Times New Roman"/>
              </w:rPr>
              <w:t>4.8</w:t>
            </w:r>
          </w:p>
        </w:tc>
        <w:tc>
          <w:tcPr>
            <w:tcW w:w="900" w:type="dxa"/>
            <w:vMerge/>
            <w:tcBorders>
              <w:bottom w:val="single" w:sz="4" w:space="0" w:color="auto"/>
            </w:tcBorders>
            <w:shd w:val="clear" w:color="auto" w:fill="FFFFFF" w:themeFill="background1"/>
            <w:vAlign w:val="center"/>
          </w:tcPr>
          <w:p w14:paraId="6198E977" w14:textId="77777777" w:rsidR="007561F6" w:rsidRPr="00F56651" w:rsidRDefault="007561F6" w:rsidP="007561F6">
            <w:pPr>
              <w:spacing w:line="240" w:lineRule="auto"/>
              <w:rPr>
                <w:rFonts w:cs="Times New Roman"/>
              </w:rPr>
            </w:pPr>
          </w:p>
        </w:tc>
        <w:tc>
          <w:tcPr>
            <w:tcW w:w="990" w:type="dxa"/>
            <w:vMerge/>
            <w:tcBorders>
              <w:bottom w:val="single" w:sz="4" w:space="0" w:color="auto"/>
            </w:tcBorders>
            <w:shd w:val="clear" w:color="auto" w:fill="FFFFFF" w:themeFill="background1"/>
            <w:vAlign w:val="center"/>
          </w:tcPr>
          <w:p w14:paraId="42417470" w14:textId="77777777" w:rsidR="007561F6" w:rsidRPr="00F56651" w:rsidRDefault="007561F6" w:rsidP="007561F6">
            <w:pPr>
              <w:spacing w:line="240" w:lineRule="auto"/>
              <w:rPr>
                <w:rFonts w:cs="Times New Roman"/>
              </w:rPr>
            </w:pPr>
          </w:p>
        </w:tc>
        <w:tc>
          <w:tcPr>
            <w:tcW w:w="900" w:type="dxa"/>
            <w:vMerge/>
            <w:tcBorders>
              <w:bottom w:val="single" w:sz="4" w:space="0" w:color="auto"/>
            </w:tcBorders>
            <w:shd w:val="clear" w:color="auto" w:fill="FFFFFF" w:themeFill="background1"/>
            <w:vAlign w:val="center"/>
          </w:tcPr>
          <w:p w14:paraId="641CD057" w14:textId="77777777" w:rsidR="007561F6" w:rsidRPr="00F56651" w:rsidRDefault="007561F6" w:rsidP="007561F6">
            <w:pPr>
              <w:spacing w:line="240" w:lineRule="auto"/>
              <w:rPr>
                <w:rFonts w:cs="Times New Roman"/>
              </w:rPr>
            </w:pPr>
          </w:p>
        </w:tc>
      </w:tr>
      <w:tr w:rsidR="00211039" w:rsidRPr="00F56651" w14:paraId="1655E109" w14:textId="77777777" w:rsidTr="00211039">
        <w:tc>
          <w:tcPr>
            <w:tcW w:w="1119" w:type="dxa"/>
            <w:vMerge w:val="restart"/>
            <w:tcBorders>
              <w:top w:val="single" w:sz="4" w:space="0" w:color="auto"/>
            </w:tcBorders>
            <w:shd w:val="clear" w:color="auto" w:fill="FFFFFF" w:themeFill="background1"/>
            <w:vAlign w:val="center"/>
          </w:tcPr>
          <w:p w14:paraId="5EBF478C" w14:textId="77777777" w:rsidR="007561F6" w:rsidRPr="00F56651" w:rsidRDefault="007561F6" w:rsidP="007561F6">
            <w:pPr>
              <w:spacing w:before="120" w:line="240" w:lineRule="auto"/>
              <w:rPr>
                <w:rFonts w:cs="Times New Roman"/>
              </w:rPr>
            </w:pPr>
            <w:r w:rsidRPr="00F56651">
              <w:rPr>
                <w:rFonts w:cs="Times New Roman"/>
              </w:rPr>
              <w:t>PCR5</w:t>
            </w:r>
          </w:p>
        </w:tc>
        <w:tc>
          <w:tcPr>
            <w:tcW w:w="861" w:type="dxa"/>
            <w:tcBorders>
              <w:top w:val="single" w:sz="4" w:space="0" w:color="auto"/>
            </w:tcBorders>
            <w:shd w:val="clear" w:color="auto" w:fill="FFFFFF" w:themeFill="background1"/>
          </w:tcPr>
          <w:p w14:paraId="6B289ECC" w14:textId="77777777" w:rsidR="007561F6" w:rsidRPr="00F56651" w:rsidRDefault="007561F6" w:rsidP="007561F6">
            <w:pPr>
              <w:spacing w:before="120" w:line="240" w:lineRule="auto"/>
              <w:rPr>
                <w:rFonts w:cs="Times New Roman"/>
              </w:rPr>
            </w:pPr>
            <w:r w:rsidRPr="00F56651">
              <w:rPr>
                <w:rFonts w:cs="Times New Roman"/>
              </w:rPr>
              <w:t>canine</w:t>
            </w:r>
          </w:p>
        </w:tc>
        <w:tc>
          <w:tcPr>
            <w:tcW w:w="986" w:type="dxa"/>
            <w:tcBorders>
              <w:top w:val="single" w:sz="4" w:space="0" w:color="auto"/>
            </w:tcBorders>
            <w:shd w:val="clear" w:color="auto" w:fill="FFFFFF" w:themeFill="background1"/>
          </w:tcPr>
          <w:p w14:paraId="1060E941" w14:textId="58392214"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7.7</w:t>
            </w:r>
          </w:p>
        </w:tc>
        <w:tc>
          <w:tcPr>
            <w:tcW w:w="994" w:type="dxa"/>
            <w:tcBorders>
              <w:top w:val="single" w:sz="4" w:space="0" w:color="auto"/>
            </w:tcBorders>
            <w:shd w:val="clear" w:color="auto" w:fill="FFFFFF" w:themeFill="background1"/>
          </w:tcPr>
          <w:p w14:paraId="70E120E0" w14:textId="22DD3CB3"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7.3</w:t>
            </w:r>
          </w:p>
        </w:tc>
        <w:tc>
          <w:tcPr>
            <w:tcW w:w="810" w:type="dxa"/>
            <w:tcBorders>
              <w:top w:val="single" w:sz="4" w:space="0" w:color="auto"/>
            </w:tcBorders>
            <w:shd w:val="clear" w:color="auto" w:fill="FFFFFF" w:themeFill="background1"/>
          </w:tcPr>
          <w:p w14:paraId="07B72F68" w14:textId="1C6E53EE"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10.7</w:t>
            </w:r>
          </w:p>
        </w:tc>
        <w:tc>
          <w:tcPr>
            <w:tcW w:w="810" w:type="dxa"/>
            <w:tcBorders>
              <w:top w:val="single" w:sz="4" w:space="0" w:color="auto"/>
            </w:tcBorders>
            <w:shd w:val="clear" w:color="auto" w:fill="FFFFFF" w:themeFill="background1"/>
          </w:tcPr>
          <w:p w14:paraId="19A27057" w14:textId="4F968E14" w:rsidR="007561F6" w:rsidRPr="00F56651" w:rsidRDefault="003C4D91" w:rsidP="007561F6">
            <w:pPr>
              <w:spacing w:before="120" w:line="240" w:lineRule="auto"/>
              <w:rPr>
                <w:rFonts w:cs="Times New Roman"/>
              </w:rPr>
            </w:pPr>
            <w:r>
              <w:rPr>
                <w:rFonts w:cs="Times New Roman"/>
              </w:rPr>
              <w:t>−</w:t>
            </w:r>
            <w:r w:rsidR="007561F6" w:rsidRPr="00F56651">
              <w:rPr>
                <w:rFonts w:cs="Times New Roman"/>
              </w:rPr>
              <w:t>5.5</w:t>
            </w:r>
          </w:p>
        </w:tc>
        <w:tc>
          <w:tcPr>
            <w:tcW w:w="1080" w:type="dxa"/>
            <w:tcBorders>
              <w:top w:val="single" w:sz="4" w:space="0" w:color="auto"/>
            </w:tcBorders>
            <w:shd w:val="clear" w:color="auto" w:fill="FFFFFF" w:themeFill="background1"/>
          </w:tcPr>
          <w:p w14:paraId="07BC7EFE" w14:textId="77777777" w:rsidR="007561F6" w:rsidRPr="00F56651" w:rsidRDefault="007561F6" w:rsidP="007561F6">
            <w:pPr>
              <w:spacing w:before="120" w:line="240" w:lineRule="auto"/>
              <w:rPr>
                <w:rFonts w:cs="Times New Roman"/>
              </w:rPr>
            </w:pPr>
            <w:r w:rsidRPr="00F56651">
              <w:rPr>
                <w:rFonts w:cs="Times New Roman"/>
              </w:rPr>
              <w:t>5.2</w:t>
            </w:r>
          </w:p>
        </w:tc>
        <w:tc>
          <w:tcPr>
            <w:tcW w:w="900" w:type="dxa"/>
            <w:vMerge w:val="restart"/>
            <w:tcBorders>
              <w:top w:val="single" w:sz="4" w:space="0" w:color="auto"/>
            </w:tcBorders>
            <w:shd w:val="clear" w:color="auto" w:fill="FFFFFF" w:themeFill="background1"/>
            <w:vAlign w:val="center"/>
          </w:tcPr>
          <w:p w14:paraId="65609164" w14:textId="77777777" w:rsidR="007561F6" w:rsidRPr="00F56651" w:rsidRDefault="007561F6" w:rsidP="007561F6">
            <w:pPr>
              <w:spacing w:before="120" w:line="240" w:lineRule="auto"/>
              <w:rPr>
                <w:rFonts w:cs="Times New Roman"/>
              </w:rPr>
            </w:pPr>
            <w:r w:rsidRPr="00F56651">
              <w:rPr>
                <w:rFonts w:cs="Times New Roman"/>
              </w:rPr>
              <w:t>1.3</w:t>
            </w:r>
          </w:p>
        </w:tc>
        <w:tc>
          <w:tcPr>
            <w:tcW w:w="990" w:type="dxa"/>
            <w:vMerge w:val="restart"/>
            <w:tcBorders>
              <w:top w:val="single" w:sz="4" w:space="0" w:color="auto"/>
            </w:tcBorders>
            <w:shd w:val="clear" w:color="auto" w:fill="FFFFFF" w:themeFill="background1"/>
            <w:vAlign w:val="center"/>
          </w:tcPr>
          <w:p w14:paraId="44B68F3B" w14:textId="77777777" w:rsidR="007561F6" w:rsidRPr="00F56651" w:rsidRDefault="007561F6" w:rsidP="007561F6">
            <w:pPr>
              <w:spacing w:before="120" w:line="240" w:lineRule="auto"/>
              <w:rPr>
                <w:rFonts w:cs="Times New Roman"/>
              </w:rPr>
            </w:pPr>
            <w:r w:rsidRPr="00F56651">
              <w:rPr>
                <w:rFonts w:cs="Times New Roman"/>
              </w:rPr>
              <w:t>1.3</w:t>
            </w:r>
          </w:p>
        </w:tc>
        <w:tc>
          <w:tcPr>
            <w:tcW w:w="900" w:type="dxa"/>
            <w:vMerge w:val="restart"/>
            <w:tcBorders>
              <w:top w:val="single" w:sz="4" w:space="0" w:color="auto"/>
            </w:tcBorders>
            <w:shd w:val="clear" w:color="auto" w:fill="FFFFFF" w:themeFill="background1"/>
            <w:vAlign w:val="center"/>
          </w:tcPr>
          <w:p w14:paraId="2AA1A579" w14:textId="77777777" w:rsidR="007561F6" w:rsidRPr="00F56651" w:rsidRDefault="007561F6" w:rsidP="007561F6">
            <w:pPr>
              <w:spacing w:before="120" w:line="240" w:lineRule="auto"/>
              <w:rPr>
                <w:rFonts w:cs="Times New Roman"/>
              </w:rPr>
            </w:pPr>
            <w:r w:rsidRPr="00F56651">
              <w:rPr>
                <w:rFonts w:cs="Times New Roman"/>
              </w:rPr>
              <w:t>0.5</w:t>
            </w:r>
          </w:p>
        </w:tc>
      </w:tr>
      <w:tr w:rsidR="00211039" w:rsidRPr="00F56651" w14:paraId="04AC4C2D" w14:textId="77777777" w:rsidTr="00211039">
        <w:tc>
          <w:tcPr>
            <w:tcW w:w="1119" w:type="dxa"/>
            <w:vMerge/>
            <w:tcBorders>
              <w:bottom w:val="single" w:sz="4" w:space="0" w:color="auto"/>
            </w:tcBorders>
          </w:tcPr>
          <w:p w14:paraId="77A6D415" w14:textId="77777777" w:rsidR="007561F6" w:rsidRPr="00F56651" w:rsidRDefault="007561F6" w:rsidP="007561F6">
            <w:pPr>
              <w:spacing w:line="240" w:lineRule="auto"/>
              <w:rPr>
                <w:rFonts w:cs="Times New Roman"/>
              </w:rPr>
            </w:pPr>
          </w:p>
        </w:tc>
        <w:tc>
          <w:tcPr>
            <w:tcW w:w="861" w:type="dxa"/>
            <w:tcBorders>
              <w:bottom w:val="single" w:sz="4" w:space="0" w:color="auto"/>
            </w:tcBorders>
          </w:tcPr>
          <w:p w14:paraId="56232436" w14:textId="77777777" w:rsidR="007561F6" w:rsidRPr="00F56651" w:rsidRDefault="007561F6" w:rsidP="007561F6">
            <w:pPr>
              <w:spacing w:line="240" w:lineRule="auto"/>
              <w:rPr>
                <w:rFonts w:cs="Times New Roman"/>
              </w:rPr>
            </w:pPr>
            <w:r w:rsidRPr="00F56651">
              <w:rPr>
                <w:rFonts w:cs="Times New Roman"/>
              </w:rPr>
              <w:t>I1 + I2</w:t>
            </w:r>
          </w:p>
        </w:tc>
        <w:tc>
          <w:tcPr>
            <w:tcW w:w="986" w:type="dxa"/>
            <w:tcBorders>
              <w:bottom w:val="single" w:sz="4" w:space="0" w:color="auto"/>
            </w:tcBorders>
          </w:tcPr>
          <w:p w14:paraId="1D310BC1" w14:textId="5DD56D15" w:rsidR="007561F6" w:rsidRPr="00F56651" w:rsidRDefault="003C4D91" w:rsidP="007561F6">
            <w:pPr>
              <w:spacing w:line="240" w:lineRule="auto"/>
              <w:rPr>
                <w:rFonts w:cs="Times New Roman"/>
              </w:rPr>
            </w:pPr>
            <w:r>
              <w:rPr>
                <w:rFonts w:cs="Times New Roman"/>
              </w:rPr>
              <w:t>−</w:t>
            </w:r>
            <w:r w:rsidR="007561F6" w:rsidRPr="00F56651">
              <w:rPr>
                <w:rFonts w:cs="Times New Roman"/>
              </w:rPr>
              <w:t>9.0*</w:t>
            </w:r>
          </w:p>
        </w:tc>
        <w:tc>
          <w:tcPr>
            <w:tcW w:w="994" w:type="dxa"/>
            <w:tcBorders>
              <w:bottom w:val="single" w:sz="4" w:space="0" w:color="auto"/>
            </w:tcBorders>
          </w:tcPr>
          <w:p w14:paraId="7D9CA04F" w14:textId="5FC693F8" w:rsidR="007561F6" w:rsidRPr="00F56651" w:rsidRDefault="003C4D91" w:rsidP="007561F6">
            <w:pPr>
              <w:spacing w:line="240" w:lineRule="auto"/>
              <w:rPr>
                <w:rFonts w:cs="Times New Roman"/>
              </w:rPr>
            </w:pPr>
            <w:r>
              <w:rPr>
                <w:rFonts w:cs="Times New Roman"/>
              </w:rPr>
              <w:t>−</w:t>
            </w:r>
            <w:r w:rsidR="007561F6" w:rsidRPr="00F56651">
              <w:rPr>
                <w:rFonts w:cs="Times New Roman"/>
              </w:rPr>
              <w:t>8.6*</w:t>
            </w:r>
          </w:p>
        </w:tc>
        <w:tc>
          <w:tcPr>
            <w:tcW w:w="810" w:type="dxa"/>
            <w:tcBorders>
              <w:bottom w:val="single" w:sz="4" w:space="0" w:color="auto"/>
            </w:tcBorders>
          </w:tcPr>
          <w:p w14:paraId="7CBEF58D" w14:textId="60278D06" w:rsidR="007561F6" w:rsidRPr="00F56651" w:rsidRDefault="003C4D91" w:rsidP="007561F6">
            <w:pPr>
              <w:spacing w:line="240" w:lineRule="auto"/>
              <w:rPr>
                <w:rFonts w:cs="Times New Roman"/>
              </w:rPr>
            </w:pPr>
            <w:r>
              <w:rPr>
                <w:rFonts w:cs="Times New Roman"/>
              </w:rPr>
              <w:t>−</w:t>
            </w:r>
            <w:r w:rsidR="007561F6" w:rsidRPr="00F56651">
              <w:rPr>
                <w:rFonts w:cs="Times New Roman"/>
              </w:rPr>
              <w:t>12.0</w:t>
            </w:r>
          </w:p>
        </w:tc>
        <w:tc>
          <w:tcPr>
            <w:tcW w:w="810" w:type="dxa"/>
            <w:tcBorders>
              <w:bottom w:val="single" w:sz="4" w:space="0" w:color="auto"/>
            </w:tcBorders>
          </w:tcPr>
          <w:p w14:paraId="44DF0FFE" w14:textId="685A09A7" w:rsidR="007561F6" w:rsidRPr="00F56651" w:rsidRDefault="003C4D91" w:rsidP="007561F6">
            <w:pPr>
              <w:spacing w:line="240" w:lineRule="auto"/>
              <w:rPr>
                <w:rFonts w:cs="Times New Roman"/>
              </w:rPr>
            </w:pPr>
            <w:r>
              <w:rPr>
                <w:rFonts w:cs="Times New Roman"/>
              </w:rPr>
              <w:t>−</w:t>
            </w:r>
            <w:r w:rsidR="007561F6" w:rsidRPr="00F56651">
              <w:rPr>
                <w:rFonts w:cs="Times New Roman"/>
              </w:rPr>
              <w:t>7.3</w:t>
            </w:r>
          </w:p>
        </w:tc>
        <w:tc>
          <w:tcPr>
            <w:tcW w:w="1080" w:type="dxa"/>
            <w:tcBorders>
              <w:bottom w:val="single" w:sz="4" w:space="0" w:color="auto"/>
            </w:tcBorders>
          </w:tcPr>
          <w:p w14:paraId="3C756129" w14:textId="77777777" w:rsidR="007561F6" w:rsidRPr="00F56651" w:rsidRDefault="007561F6" w:rsidP="007561F6">
            <w:pPr>
              <w:spacing w:line="240" w:lineRule="auto"/>
              <w:rPr>
                <w:rFonts w:cs="Times New Roman"/>
              </w:rPr>
            </w:pPr>
            <w:r w:rsidRPr="00F56651">
              <w:rPr>
                <w:rFonts w:cs="Times New Roman"/>
              </w:rPr>
              <w:t>4.7</w:t>
            </w:r>
          </w:p>
        </w:tc>
        <w:tc>
          <w:tcPr>
            <w:tcW w:w="900" w:type="dxa"/>
            <w:vMerge/>
            <w:tcBorders>
              <w:bottom w:val="single" w:sz="4" w:space="0" w:color="auto"/>
            </w:tcBorders>
          </w:tcPr>
          <w:p w14:paraId="7E1D2C38" w14:textId="77777777" w:rsidR="007561F6" w:rsidRPr="00F56651" w:rsidRDefault="007561F6" w:rsidP="007561F6">
            <w:pPr>
              <w:spacing w:line="240" w:lineRule="auto"/>
              <w:rPr>
                <w:rFonts w:cs="Times New Roman"/>
              </w:rPr>
            </w:pPr>
          </w:p>
        </w:tc>
        <w:tc>
          <w:tcPr>
            <w:tcW w:w="990" w:type="dxa"/>
            <w:vMerge/>
            <w:tcBorders>
              <w:bottom w:val="single" w:sz="4" w:space="0" w:color="auto"/>
            </w:tcBorders>
          </w:tcPr>
          <w:p w14:paraId="403667BD" w14:textId="77777777" w:rsidR="007561F6" w:rsidRPr="00F56651" w:rsidRDefault="007561F6" w:rsidP="007561F6">
            <w:pPr>
              <w:spacing w:line="240" w:lineRule="auto"/>
              <w:rPr>
                <w:rFonts w:cs="Times New Roman"/>
              </w:rPr>
            </w:pPr>
          </w:p>
        </w:tc>
        <w:tc>
          <w:tcPr>
            <w:tcW w:w="900" w:type="dxa"/>
            <w:vMerge/>
            <w:tcBorders>
              <w:bottom w:val="single" w:sz="4" w:space="0" w:color="auto"/>
            </w:tcBorders>
          </w:tcPr>
          <w:p w14:paraId="0236A032" w14:textId="77777777" w:rsidR="007561F6" w:rsidRPr="00F56651" w:rsidRDefault="007561F6" w:rsidP="007561F6">
            <w:pPr>
              <w:spacing w:line="240" w:lineRule="auto"/>
              <w:rPr>
                <w:rFonts w:cs="Times New Roman"/>
              </w:rPr>
            </w:pPr>
          </w:p>
        </w:tc>
      </w:tr>
      <w:bookmarkEnd w:id="8"/>
    </w:tbl>
    <w:p w14:paraId="03FD48A3" w14:textId="28CAC140" w:rsidR="0072532D" w:rsidRDefault="0072532D">
      <w:pPr>
        <w:spacing w:after="160" w:line="259" w:lineRule="auto"/>
      </w:pPr>
      <w:r>
        <w:br w:type="page"/>
      </w:r>
    </w:p>
    <w:p w14:paraId="1162DFC8" w14:textId="77777777" w:rsidR="00C94160" w:rsidRDefault="00C94160" w:rsidP="00C94160">
      <w:pPr>
        <w:rPr>
          <w:rFonts w:cs="Times New Roman"/>
        </w:rPr>
      </w:pPr>
      <w:r>
        <w:lastRenderedPageBreak/>
        <w:t>Table S5</w:t>
      </w:r>
      <w:r>
        <w:rPr>
          <w:rFonts w:cs="Times New Roman"/>
        </w:rPr>
        <w:t xml:space="preserve">. Duration of seasonality interpreted from reconstructed M3 timelines, based on intra-tooth sampling data published in </w:t>
      </w:r>
      <w:hyperlink w:anchor="_ENREF_17" w:tooltip="Reid, 2019 #755" w:history="1">
        <w:r>
          <w:rPr>
            <w:rFonts w:cs="Times New Roman"/>
          </w:rPr>
          <w:fldChar w:fldCharType="begin"/>
        </w:r>
        <w:r>
          <w:rPr>
            <w:rFonts w:cs="Times New Roman"/>
          </w:rPr>
          <w:instrText xml:space="preserve"> ADDIN EN.CITE &lt;EndNote&gt;&lt;Cite AuthorYear="1"&gt;&lt;Author&gt;Reid&lt;/Author&gt;&lt;Year&gt;2019&lt;/Year&gt;&lt;RecNum&gt;755&lt;/RecNum&gt;&lt;DisplayText&gt;Reid et al. (2019)&lt;/DisplayText&gt;&lt;record&gt;&lt;rec-number&gt;755&lt;/rec-number&gt;&lt;foreign-keys&gt;&lt;key app="EN" db-id="tfdrzwraavd093eezvk5z5ehd2xvxse2wfar" timestamp="1569110173"&gt;755&lt;/key&gt;&lt;/foreign-keys&gt;&lt;ref-type name="Journal Article"&gt;17&lt;/ref-type&gt;&lt;contributors&gt;&lt;authors&gt;&lt;author&gt;Reid, Rachel E. B.&lt;/author&gt;&lt;author&gt;Jones, Mica&lt;/author&gt;&lt;author&gt;Brandt, Steven&lt;/author&gt;&lt;author&gt;Bunn, Henry&lt;/author&gt;&lt;author&gt;Marshall, Fiona&lt;/author&gt;&lt;/authors&gt;&lt;/contributors&gt;&lt;titles&gt;&lt;title&gt;Oxygen isotope analyses of ungulate tooth enamel confirm low seasonality of rainfall contributed to the African Humid Period in Somalia&lt;/title&gt;&lt;secondary-title&gt;Palaeogeography, Palaeoclimatology, Palaeoecology&lt;/secondary-title&gt;&lt;/titles&gt;&lt;periodical&gt;&lt;full-title&gt;Palaeogeography, Palaeoclimatology, Palaeoecology&lt;/full-title&gt;&lt;abbr-1&gt;Palaeogeogr Palaeoclimatol Palaeoecol&lt;/abbr-1&gt;&lt;abbr-2&gt;Palaeogeogr. Palaeoclimatol. Palaeoecol.&lt;/abbr-2&gt;&lt;/periodical&gt;&lt;pages&gt;109272&lt;/pages&gt;&lt;volume&gt;534&lt;/volume&gt;&lt;keywords&gt;&lt;keyword&gt;Carbon isotopes&lt;/keyword&gt;&lt;keyword&gt;Serial-sampling&lt;/keyword&gt;&lt;keyword&gt;Terrestrial paleoclimate&lt;/keyword&gt;&lt;keyword&gt;Eastern Africa&lt;/keyword&gt;&lt;keyword&gt;Dik-dik&lt;/keyword&gt;&lt;keyword&gt;Warthog&lt;/keyword&gt;&lt;/keywords&gt;&lt;dates&gt;&lt;year&gt;2019&lt;/year&gt;&lt;pub-dates&gt;&lt;date&gt;2019/11/15/&lt;/date&gt;&lt;/pub-dates&gt;&lt;/dates&gt;&lt;isbn&gt;0031-0182&lt;/isbn&gt;&lt;urls&gt;&lt;related-urls&gt;&lt;url&gt;http://www.sciencedirect.com/science/article/pii/S0031018219302275&lt;/url&gt;&lt;/related-urls&gt;&lt;/urls&gt;&lt;electronic-resource-num&gt;https://doi.org/10.1016/j.palaeo.2019.109272&lt;/electronic-resource-num&gt;&lt;/record&gt;&lt;/Cite&gt;&lt;/EndNote&gt;</w:instrText>
        </w:r>
        <w:r>
          <w:rPr>
            <w:rFonts w:cs="Times New Roman"/>
          </w:rPr>
          <w:fldChar w:fldCharType="separate"/>
        </w:r>
        <w:r>
          <w:rPr>
            <w:rFonts w:cs="Times New Roman"/>
            <w:noProof/>
          </w:rPr>
          <w:t>Reid et al. (2019)</w:t>
        </w:r>
        <w:r>
          <w:rPr>
            <w:rFonts w:cs="Times New Roman"/>
          </w:rPr>
          <w:fldChar w:fldCharType="end"/>
        </w:r>
      </w:hyperlink>
      <w:r>
        <w:rPr>
          <w:rFonts w:cs="Times New Roman"/>
        </w:rPr>
        <w:t>; the durations that likely represent unimodal pattern of rainfall are bolded (365 days within the range, which is calculated using 95 % confidence interval). R = rainy season; D = dry season.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1620"/>
        <w:gridCol w:w="1260"/>
        <w:gridCol w:w="1260"/>
        <w:gridCol w:w="1260"/>
        <w:gridCol w:w="1260"/>
        <w:gridCol w:w="1260"/>
        <w:gridCol w:w="1440"/>
      </w:tblGrid>
      <w:tr w:rsidR="007561F6" w:rsidRPr="005646C5" w14:paraId="7529021C" w14:textId="77777777" w:rsidTr="00272B4F">
        <w:tc>
          <w:tcPr>
            <w:tcW w:w="1620" w:type="dxa"/>
            <w:tcBorders>
              <w:top w:val="single" w:sz="4" w:space="0" w:color="auto"/>
              <w:bottom w:val="single" w:sz="4" w:space="0" w:color="auto"/>
            </w:tcBorders>
            <w:vAlign w:val="center"/>
          </w:tcPr>
          <w:p w14:paraId="7925A2E5" w14:textId="6E7068BB" w:rsidR="007561F6" w:rsidRPr="005646C5" w:rsidRDefault="00E95DFC" w:rsidP="007561F6">
            <w:pPr>
              <w:spacing w:line="240" w:lineRule="auto"/>
              <w:jc w:val="center"/>
              <w:rPr>
                <w:rFonts w:cs="Times New Roman"/>
                <w:szCs w:val="24"/>
              </w:rPr>
            </w:pPr>
            <w:bookmarkStart w:id="9" w:name="_Hlk32419435"/>
            <w:bookmarkStart w:id="10" w:name="_Hlk32419342"/>
            <w:r>
              <w:rPr>
                <w:rFonts w:cs="Times New Roman"/>
                <w:szCs w:val="24"/>
              </w:rPr>
              <w:t>Specimen</w:t>
            </w:r>
          </w:p>
        </w:tc>
        <w:tc>
          <w:tcPr>
            <w:tcW w:w="1260" w:type="dxa"/>
            <w:tcBorders>
              <w:top w:val="single" w:sz="4" w:space="0" w:color="auto"/>
              <w:bottom w:val="single" w:sz="4" w:space="0" w:color="auto"/>
            </w:tcBorders>
            <w:vAlign w:val="center"/>
          </w:tcPr>
          <w:p w14:paraId="33E7222E" w14:textId="77777777" w:rsidR="007561F6" w:rsidRPr="005646C5" w:rsidRDefault="007561F6" w:rsidP="007561F6">
            <w:pPr>
              <w:spacing w:line="240" w:lineRule="auto"/>
              <w:jc w:val="center"/>
              <w:rPr>
                <w:rFonts w:cs="Times New Roman"/>
                <w:szCs w:val="24"/>
              </w:rPr>
            </w:pPr>
            <w:r w:rsidRPr="005646C5">
              <w:rPr>
                <w:rFonts w:cs="Times New Roman"/>
                <w:szCs w:val="24"/>
              </w:rPr>
              <w:t>B 58.2</w:t>
            </w:r>
          </w:p>
        </w:tc>
        <w:tc>
          <w:tcPr>
            <w:tcW w:w="1260" w:type="dxa"/>
            <w:tcBorders>
              <w:top w:val="single" w:sz="4" w:space="0" w:color="auto"/>
              <w:bottom w:val="single" w:sz="4" w:space="0" w:color="auto"/>
            </w:tcBorders>
            <w:vAlign w:val="center"/>
          </w:tcPr>
          <w:p w14:paraId="45170345" w14:textId="77777777" w:rsidR="007561F6" w:rsidRPr="005646C5" w:rsidRDefault="007561F6" w:rsidP="007561F6">
            <w:pPr>
              <w:spacing w:line="240" w:lineRule="auto"/>
              <w:jc w:val="center"/>
              <w:rPr>
                <w:rFonts w:cs="Times New Roman"/>
                <w:szCs w:val="24"/>
              </w:rPr>
            </w:pPr>
            <w:r w:rsidRPr="005646C5">
              <w:rPr>
                <w:rFonts w:cs="Times New Roman"/>
                <w:szCs w:val="24"/>
              </w:rPr>
              <w:t>B384</w:t>
            </w:r>
          </w:p>
        </w:tc>
        <w:tc>
          <w:tcPr>
            <w:tcW w:w="1260" w:type="dxa"/>
            <w:tcBorders>
              <w:top w:val="single" w:sz="4" w:space="0" w:color="auto"/>
              <w:bottom w:val="single" w:sz="4" w:space="0" w:color="auto"/>
            </w:tcBorders>
            <w:vAlign w:val="center"/>
          </w:tcPr>
          <w:p w14:paraId="1EE54FA0" w14:textId="77777777" w:rsidR="007561F6" w:rsidRPr="005646C5" w:rsidRDefault="007561F6" w:rsidP="007561F6">
            <w:pPr>
              <w:spacing w:line="240" w:lineRule="auto"/>
              <w:jc w:val="center"/>
              <w:rPr>
                <w:rFonts w:cs="Times New Roman"/>
                <w:szCs w:val="24"/>
              </w:rPr>
            </w:pPr>
            <w:r w:rsidRPr="005646C5">
              <w:rPr>
                <w:rFonts w:cs="Times New Roman"/>
                <w:szCs w:val="24"/>
              </w:rPr>
              <w:t>B33</w:t>
            </w:r>
          </w:p>
        </w:tc>
        <w:tc>
          <w:tcPr>
            <w:tcW w:w="1260" w:type="dxa"/>
            <w:tcBorders>
              <w:top w:val="single" w:sz="4" w:space="0" w:color="auto"/>
              <w:bottom w:val="single" w:sz="4" w:space="0" w:color="auto"/>
            </w:tcBorders>
            <w:vAlign w:val="center"/>
          </w:tcPr>
          <w:p w14:paraId="5E2C73A2" w14:textId="77777777" w:rsidR="007561F6" w:rsidRPr="005646C5" w:rsidRDefault="007561F6" w:rsidP="007561F6">
            <w:pPr>
              <w:spacing w:line="240" w:lineRule="auto"/>
              <w:jc w:val="center"/>
              <w:rPr>
                <w:rFonts w:cs="Times New Roman"/>
                <w:szCs w:val="24"/>
              </w:rPr>
            </w:pPr>
            <w:r w:rsidRPr="005646C5">
              <w:rPr>
                <w:rFonts w:cs="Times New Roman"/>
                <w:szCs w:val="24"/>
              </w:rPr>
              <w:t>B56.1</w:t>
            </w:r>
          </w:p>
        </w:tc>
        <w:tc>
          <w:tcPr>
            <w:tcW w:w="1260" w:type="dxa"/>
            <w:tcBorders>
              <w:top w:val="single" w:sz="4" w:space="0" w:color="auto"/>
              <w:bottom w:val="single" w:sz="4" w:space="0" w:color="auto"/>
            </w:tcBorders>
            <w:vAlign w:val="center"/>
          </w:tcPr>
          <w:p w14:paraId="6A5CE4C4" w14:textId="77777777" w:rsidR="007561F6" w:rsidRPr="005646C5" w:rsidRDefault="007561F6" w:rsidP="007561F6">
            <w:pPr>
              <w:spacing w:line="240" w:lineRule="auto"/>
              <w:jc w:val="center"/>
              <w:rPr>
                <w:rFonts w:cs="Times New Roman"/>
                <w:szCs w:val="24"/>
              </w:rPr>
            </w:pPr>
            <w:r w:rsidRPr="005646C5">
              <w:rPr>
                <w:rFonts w:cs="Times New Roman"/>
                <w:szCs w:val="24"/>
              </w:rPr>
              <w:t>4035</w:t>
            </w:r>
          </w:p>
        </w:tc>
        <w:tc>
          <w:tcPr>
            <w:tcW w:w="1440" w:type="dxa"/>
            <w:tcBorders>
              <w:top w:val="single" w:sz="4" w:space="0" w:color="auto"/>
              <w:bottom w:val="single" w:sz="4" w:space="0" w:color="auto"/>
            </w:tcBorders>
            <w:vAlign w:val="center"/>
          </w:tcPr>
          <w:p w14:paraId="08C12805" w14:textId="77777777" w:rsidR="007561F6" w:rsidRPr="005646C5" w:rsidRDefault="007561F6" w:rsidP="007561F6">
            <w:pPr>
              <w:spacing w:line="240" w:lineRule="auto"/>
              <w:jc w:val="center"/>
              <w:rPr>
                <w:rFonts w:cs="Times New Roman"/>
                <w:szCs w:val="24"/>
              </w:rPr>
            </w:pPr>
            <w:r w:rsidRPr="005646C5">
              <w:rPr>
                <w:rFonts w:cs="Times New Roman"/>
                <w:szCs w:val="24"/>
              </w:rPr>
              <w:t>4032</w:t>
            </w:r>
          </w:p>
        </w:tc>
      </w:tr>
      <w:tr w:rsidR="007561F6" w:rsidRPr="005646C5" w14:paraId="4A51D68E" w14:textId="77777777" w:rsidTr="00CF12B5">
        <w:tc>
          <w:tcPr>
            <w:tcW w:w="1620" w:type="dxa"/>
            <w:tcBorders>
              <w:top w:val="single" w:sz="4" w:space="0" w:color="auto"/>
            </w:tcBorders>
            <w:shd w:val="clear" w:color="auto" w:fill="FFFFFF" w:themeFill="background1"/>
            <w:vAlign w:val="center"/>
          </w:tcPr>
          <w:p w14:paraId="4142D226" w14:textId="77777777" w:rsidR="007561F6" w:rsidRPr="005646C5" w:rsidRDefault="007561F6" w:rsidP="007561F6">
            <w:pPr>
              <w:spacing w:line="240" w:lineRule="auto"/>
              <w:jc w:val="center"/>
              <w:rPr>
                <w:rFonts w:cs="Times New Roman"/>
                <w:szCs w:val="24"/>
              </w:rPr>
            </w:pPr>
            <w:r w:rsidRPr="005646C5">
              <w:rPr>
                <w:rFonts w:cs="Times New Roman"/>
                <w:szCs w:val="24"/>
              </w:rPr>
              <w:t>Season</w:t>
            </w:r>
          </w:p>
        </w:tc>
        <w:tc>
          <w:tcPr>
            <w:tcW w:w="1260" w:type="dxa"/>
            <w:tcBorders>
              <w:top w:val="single" w:sz="4" w:space="0" w:color="auto"/>
            </w:tcBorders>
            <w:shd w:val="clear" w:color="auto" w:fill="FFFFFF" w:themeFill="background1"/>
            <w:vAlign w:val="center"/>
          </w:tcPr>
          <w:p w14:paraId="3B84DDE3" w14:textId="77777777" w:rsidR="007561F6" w:rsidRPr="005646C5" w:rsidRDefault="007561F6" w:rsidP="007561F6">
            <w:pPr>
              <w:spacing w:line="240" w:lineRule="auto"/>
              <w:jc w:val="center"/>
              <w:rPr>
                <w:rFonts w:cs="Times New Roman"/>
                <w:szCs w:val="24"/>
              </w:rPr>
            </w:pPr>
            <w:r w:rsidRPr="005646C5">
              <w:rPr>
                <w:rFonts w:cs="Times New Roman"/>
                <w:szCs w:val="24"/>
              </w:rPr>
              <w:t>-</w:t>
            </w:r>
          </w:p>
        </w:tc>
        <w:tc>
          <w:tcPr>
            <w:tcW w:w="1260" w:type="dxa"/>
            <w:tcBorders>
              <w:top w:val="single" w:sz="4" w:space="0" w:color="auto"/>
            </w:tcBorders>
            <w:shd w:val="clear" w:color="auto" w:fill="FFFFFF" w:themeFill="background1"/>
            <w:vAlign w:val="center"/>
          </w:tcPr>
          <w:p w14:paraId="73411E62" w14:textId="5C708BB6" w:rsidR="007561F6" w:rsidRPr="005646C5" w:rsidRDefault="007561F6" w:rsidP="007561F6">
            <w:pPr>
              <w:spacing w:line="240" w:lineRule="auto"/>
              <w:jc w:val="center"/>
              <w:rPr>
                <w:rFonts w:cs="Times New Roman"/>
                <w:szCs w:val="24"/>
              </w:rPr>
            </w:pPr>
            <w:r w:rsidRPr="005646C5">
              <w:rPr>
                <w:rFonts w:cs="Times New Roman"/>
                <w:szCs w:val="24"/>
              </w:rPr>
              <w:t>R + D</w:t>
            </w:r>
          </w:p>
        </w:tc>
        <w:tc>
          <w:tcPr>
            <w:tcW w:w="1260" w:type="dxa"/>
            <w:tcBorders>
              <w:top w:val="single" w:sz="4" w:space="0" w:color="auto"/>
            </w:tcBorders>
            <w:shd w:val="clear" w:color="auto" w:fill="FFFFFF" w:themeFill="background1"/>
            <w:vAlign w:val="center"/>
          </w:tcPr>
          <w:p w14:paraId="24379C66" w14:textId="51E71A4C" w:rsidR="007561F6" w:rsidRPr="005646C5" w:rsidRDefault="007561F6" w:rsidP="007561F6">
            <w:pPr>
              <w:spacing w:line="240" w:lineRule="auto"/>
              <w:jc w:val="center"/>
              <w:rPr>
                <w:rFonts w:cs="Times New Roman"/>
                <w:szCs w:val="24"/>
              </w:rPr>
            </w:pPr>
            <w:r w:rsidRPr="005646C5">
              <w:rPr>
                <w:rFonts w:cs="Times New Roman"/>
                <w:szCs w:val="24"/>
              </w:rPr>
              <w:t>R + D</w:t>
            </w:r>
          </w:p>
        </w:tc>
        <w:tc>
          <w:tcPr>
            <w:tcW w:w="1260" w:type="dxa"/>
            <w:tcBorders>
              <w:top w:val="single" w:sz="4" w:space="0" w:color="auto"/>
            </w:tcBorders>
            <w:shd w:val="clear" w:color="auto" w:fill="FFFFFF" w:themeFill="background1"/>
            <w:vAlign w:val="center"/>
          </w:tcPr>
          <w:p w14:paraId="0477C635" w14:textId="6165A081" w:rsidR="007561F6" w:rsidRPr="005646C5" w:rsidRDefault="007561F6" w:rsidP="007561F6">
            <w:pPr>
              <w:spacing w:line="240" w:lineRule="auto"/>
              <w:jc w:val="center"/>
              <w:rPr>
                <w:rFonts w:cs="Times New Roman"/>
                <w:szCs w:val="24"/>
              </w:rPr>
            </w:pPr>
            <w:r w:rsidRPr="005646C5">
              <w:rPr>
                <w:rFonts w:cs="Times New Roman"/>
                <w:szCs w:val="24"/>
              </w:rPr>
              <w:t>R + D</w:t>
            </w:r>
          </w:p>
        </w:tc>
        <w:tc>
          <w:tcPr>
            <w:tcW w:w="1260" w:type="dxa"/>
            <w:tcBorders>
              <w:top w:val="single" w:sz="4" w:space="0" w:color="auto"/>
            </w:tcBorders>
            <w:shd w:val="clear" w:color="auto" w:fill="FFFFFF" w:themeFill="background1"/>
            <w:vAlign w:val="center"/>
          </w:tcPr>
          <w:p w14:paraId="01FB87DF"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440" w:type="dxa"/>
            <w:tcBorders>
              <w:top w:val="single" w:sz="4" w:space="0" w:color="auto"/>
            </w:tcBorders>
            <w:shd w:val="clear" w:color="auto" w:fill="FFFFFF" w:themeFill="background1"/>
            <w:vAlign w:val="center"/>
          </w:tcPr>
          <w:p w14:paraId="2998145C" w14:textId="77777777" w:rsidR="007561F6" w:rsidRPr="005646C5" w:rsidRDefault="007561F6" w:rsidP="007561F6">
            <w:pPr>
              <w:spacing w:line="240" w:lineRule="auto"/>
              <w:jc w:val="center"/>
              <w:rPr>
                <w:rFonts w:cs="Times New Roman"/>
                <w:szCs w:val="24"/>
              </w:rPr>
            </w:pPr>
            <w:r>
              <w:rPr>
                <w:rFonts w:cs="Times New Roman"/>
                <w:szCs w:val="24"/>
              </w:rPr>
              <w:t>-</w:t>
            </w:r>
          </w:p>
        </w:tc>
      </w:tr>
      <w:tr w:rsidR="007561F6" w:rsidRPr="005646C5" w14:paraId="14D8F00A" w14:textId="77777777" w:rsidTr="00CF12B5">
        <w:tc>
          <w:tcPr>
            <w:tcW w:w="1620" w:type="dxa"/>
            <w:tcBorders>
              <w:bottom w:val="single" w:sz="4" w:space="0" w:color="auto"/>
            </w:tcBorders>
            <w:shd w:val="clear" w:color="auto" w:fill="FFFFFF" w:themeFill="background1"/>
            <w:vAlign w:val="center"/>
          </w:tcPr>
          <w:p w14:paraId="06EDC327" w14:textId="77777777" w:rsidR="00272B4F" w:rsidRDefault="007561F6" w:rsidP="007561F6">
            <w:pPr>
              <w:spacing w:line="240" w:lineRule="auto"/>
              <w:jc w:val="center"/>
              <w:rPr>
                <w:rFonts w:cs="Times New Roman"/>
                <w:szCs w:val="24"/>
              </w:rPr>
            </w:pPr>
            <w:r w:rsidRPr="005646C5">
              <w:rPr>
                <w:rFonts w:cs="Times New Roman"/>
                <w:szCs w:val="24"/>
              </w:rPr>
              <w:t xml:space="preserve">Duration </w:t>
            </w:r>
          </w:p>
          <w:p w14:paraId="40A0DADB" w14:textId="332E011F"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rPr>
              <w:t>Range</w:t>
            </w:r>
            <w:r w:rsidRPr="005646C5">
              <w:rPr>
                <w:rFonts w:cs="Times New Roman"/>
                <w:szCs w:val="24"/>
              </w:rPr>
              <w:t>] (days)</w:t>
            </w:r>
          </w:p>
        </w:tc>
        <w:tc>
          <w:tcPr>
            <w:tcW w:w="1260" w:type="dxa"/>
            <w:tcBorders>
              <w:bottom w:val="single" w:sz="4" w:space="0" w:color="auto"/>
            </w:tcBorders>
            <w:shd w:val="clear" w:color="auto" w:fill="FFFFFF" w:themeFill="background1"/>
            <w:vAlign w:val="center"/>
          </w:tcPr>
          <w:p w14:paraId="75F8D228" w14:textId="77777777" w:rsidR="007561F6" w:rsidRPr="005646C5" w:rsidRDefault="007561F6" w:rsidP="007561F6">
            <w:pPr>
              <w:spacing w:line="240" w:lineRule="auto"/>
              <w:jc w:val="center"/>
              <w:rPr>
                <w:rFonts w:cs="Times New Roman"/>
                <w:szCs w:val="24"/>
              </w:rPr>
            </w:pPr>
            <w:r w:rsidRPr="005646C5">
              <w:rPr>
                <w:rFonts w:cs="Times New Roman"/>
                <w:szCs w:val="24"/>
              </w:rPr>
              <w:t>-</w:t>
            </w:r>
          </w:p>
        </w:tc>
        <w:tc>
          <w:tcPr>
            <w:tcW w:w="1260" w:type="dxa"/>
            <w:tcBorders>
              <w:bottom w:val="single" w:sz="4" w:space="0" w:color="auto"/>
            </w:tcBorders>
            <w:shd w:val="clear" w:color="auto" w:fill="FFFFFF" w:themeFill="background1"/>
            <w:vAlign w:val="center"/>
          </w:tcPr>
          <w:p w14:paraId="64CEB3A0" w14:textId="77777777" w:rsidR="00272B4F" w:rsidRDefault="007561F6" w:rsidP="007561F6">
            <w:pPr>
              <w:spacing w:line="240" w:lineRule="auto"/>
              <w:jc w:val="center"/>
              <w:rPr>
                <w:rFonts w:cs="Times New Roman"/>
                <w:szCs w:val="24"/>
              </w:rPr>
            </w:pPr>
            <w:r w:rsidRPr="005646C5">
              <w:rPr>
                <w:rFonts w:cs="Times New Roman"/>
                <w:szCs w:val="24"/>
              </w:rPr>
              <w:t xml:space="preserve">276 </w:t>
            </w:r>
          </w:p>
          <w:p w14:paraId="65A33720" w14:textId="09FA5D01" w:rsidR="007561F6" w:rsidRPr="005646C5" w:rsidRDefault="007561F6" w:rsidP="007561F6">
            <w:pPr>
              <w:spacing w:line="240" w:lineRule="auto"/>
              <w:jc w:val="center"/>
              <w:rPr>
                <w:rFonts w:cs="Times New Roman"/>
                <w:szCs w:val="24"/>
              </w:rPr>
            </w:pPr>
            <w:r w:rsidRPr="005646C5">
              <w:rPr>
                <w:rFonts w:cs="Times New Roman"/>
                <w:szCs w:val="24"/>
              </w:rPr>
              <w:t>[238 – 330]</w:t>
            </w:r>
          </w:p>
        </w:tc>
        <w:tc>
          <w:tcPr>
            <w:tcW w:w="1260" w:type="dxa"/>
            <w:tcBorders>
              <w:bottom w:val="single" w:sz="4" w:space="0" w:color="auto"/>
            </w:tcBorders>
            <w:shd w:val="clear" w:color="auto" w:fill="FFFFFF" w:themeFill="background1"/>
            <w:vAlign w:val="center"/>
          </w:tcPr>
          <w:p w14:paraId="758A5A1E" w14:textId="77777777" w:rsidR="00272B4F" w:rsidRDefault="007561F6" w:rsidP="007561F6">
            <w:pPr>
              <w:spacing w:line="240" w:lineRule="auto"/>
              <w:jc w:val="center"/>
              <w:rPr>
                <w:rFonts w:cs="Times New Roman"/>
                <w:szCs w:val="24"/>
              </w:rPr>
            </w:pPr>
            <w:r>
              <w:rPr>
                <w:rFonts w:cs="Times New Roman"/>
                <w:szCs w:val="24"/>
              </w:rPr>
              <w:t>242</w:t>
            </w:r>
            <w:r w:rsidRPr="005646C5">
              <w:rPr>
                <w:rFonts w:cs="Times New Roman"/>
                <w:szCs w:val="24"/>
              </w:rPr>
              <w:t xml:space="preserve"> </w:t>
            </w:r>
          </w:p>
          <w:p w14:paraId="4186A45C" w14:textId="7F302863"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szCs w:val="24"/>
              </w:rPr>
              <w:t>208</w:t>
            </w:r>
            <w:r w:rsidRPr="005646C5">
              <w:rPr>
                <w:rFonts w:cs="Times New Roman"/>
                <w:szCs w:val="24"/>
              </w:rPr>
              <w:t xml:space="preserve"> – </w:t>
            </w:r>
            <w:r>
              <w:rPr>
                <w:rFonts w:cs="Times New Roman"/>
                <w:szCs w:val="24"/>
              </w:rPr>
              <w:t>291</w:t>
            </w:r>
            <w:r w:rsidRPr="005646C5">
              <w:rPr>
                <w:rFonts w:cs="Times New Roman"/>
                <w:szCs w:val="24"/>
              </w:rPr>
              <w:t>]</w:t>
            </w:r>
          </w:p>
        </w:tc>
        <w:tc>
          <w:tcPr>
            <w:tcW w:w="1260" w:type="dxa"/>
            <w:tcBorders>
              <w:bottom w:val="single" w:sz="4" w:space="0" w:color="auto"/>
            </w:tcBorders>
            <w:shd w:val="clear" w:color="auto" w:fill="FFFFFF" w:themeFill="background1"/>
            <w:vAlign w:val="center"/>
          </w:tcPr>
          <w:p w14:paraId="30B3C8F9" w14:textId="77777777" w:rsidR="00272B4F" w:rsidRDefault="007561F6" w:rsidP="007561F6">
            <w:pPr>
              <w:spacing w:line="240" w:lineRule="auto"/>
              <w:jc w:val="center"/>
              <w:rPr>
                <w:rFonts w:cs="Times New Roman"/>
                <w:szCs w:val="24"/>
              </w:rPr>
            </w:pPr>
            <w:r>
              <w:rPr>
                <w:rFonts w:cs="Times New Roman"/>
                <w:szCs w:val="24"/>
              </w:rPr>
              <w:t>284</w:t>
            </w:r>
            <w:r w:rsidRPr="005646C5">
              <w:rPr>
                <w:rFonts w:cs="Times New Roman"/>
                <w:szCs w:val="24"/>
              </w:rPr>
              <w:t xml:space="preserve"> </w:t>
            </w:r>
          </w:p>
          <w:p w14:paraId="655C402D" w14:textId="19140941"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szCs w:val="24"/>
              </w:rPr>
              <w:t>238</w:t>
            </w:r>
            <w:r w:rsidRPr="005646C5">
              <w:rPr>
                <w:rFonts w:cs="Times New Roman"/>
                <w:szCs w:val="24"/>
              </w:rPr>
              <w:t xml:space="preserve"> – </w:t>
            </w:r>
            <w:r>
              <w:rPr>
                <w:rFonts w:cs="Times New Roman"/>
                <w:szCs w:val="24"/>
              </w:rPr>
              <w:t>352</w:t>
            </w:r>
            <w:r w:rsidRPr="005646C5">
              <w:rPr>
                <w:rFonts w:cs="Times New Roman"/>
                <w:szCs w:val="24"/>
              </w:rPr>
              <w:t>]</w:t>
            </w:r>
          </w:p>
        </w:tc>
        <w:tc>
          <w:tcPr>
            <w:tcW w:w="1260" w:type="dxa"/>
            <w:tcBorders>
              <w:bottom w:val="single" w:sz="4" w:space="0" w:color="auto"/>
            </w:tcBorders>
            <w:shd w:val="clear" w:color="auto" w:fill="FFFFFF" w:themeFill="background1"/>
            <w:vAlign w:val="center"/>
          </w:tcPr>
          <w:p w14:paraId="1F16E7A0"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440" w:type="dxa"/>
            <w:tcBorders>
              <w:bottom w:val="single" w:sz="4" w:space="0" w:color="auto"/>
            </w:tcBorders>
            <w:shd w:val="clear" w:color="auto" w:fill="FFFFFF" w:themeFill="background1"/>
            <w:vAlign w:val="center"/>
          </w:tcPr>
          <w:p w14:paraId="4CC0A078" w14:textId="77777777" w:rsidR="007561F6" w:rsidRPr="005646C5" w:rsidRDefault="007561F6" w:rsidP="007561F6">
            <w:pPr>
              <w:spacing w:line="240" w:lineRule="auto"/>
              <w:jc w:val="center"/>
              <w:rPr>
                <w:rFonts w:cs="Times New Roman"/>
                <w:szCs w:val="24"/>
              </w:rPr>
            </w:pPr>
            <w:r>
              <w:rPr>
                <w:rFonts w:cs="Times New Roman"/>
                <w:szCs w:val="24"/>
              </w:rPr>
              <w:t>-</w:t>
            </w:r>
          </w:p>
        </w:tc>
      </w:tr>
      <w:tr w:rsidR="007561F6" w:rsidRPr="005646C5" w14:paraId="040925CB" w14:textId="77777777" w:rsidTr="00CF12B5">
        <w:tc>
          <w:tcPr>
            <w:tcW w:w="1620" w:type="dxa"/>
            <w:tcBorders>
              <w:top w:val="single" w:sz="4" w:space="0" w:color="auto"/>
            </w:tcBorders>
            <w:shd w:val="clear" w:color="auto" w:fill="FFFFFF" w:themeFill="background1"/>
            <w:vAlign w:val="center"/>
          </w:tcPr>
          <w:p w14:paraId="617D7E4E" w14:textId="77777777" w:rsidR="007561F6" w:rsidRPr="005646C5" w:rsidRDefault="007561F6" w:rsidP="007561F6">
            <w:pPr>
              <w:spacing w:line="240" w:lineRule="auto"/>
              <w:jc w:val="center"/>
              <w:rPr>
                <w:rFonts w:cs="Times New Roman"/>
                <w:szCs w:val="24"/>
              </w:rPr>
            </w:pPr>
            <w:r w:rsidRPr="005646C5">
              <w:rPr>
                <w:rFonts w:cs="Times New Roman"/>
                <w:szCs w:val="24"/>
              </w:rPr>
              <w:t>Season</w:t>
            </w:r>
          </w:p>
        </w:tc>
        <w:tc>
          <w:tcPr>
            <w:tcW w:w="1260" w:type="dxa"/>
            <w:tcBorders>
              <w:top w:val="single" w:sz="4" w:space="0" w:color="auto"/>
            </w:tcBorders>
            <w:shd w:val="clear" w:color="auto" w:fill="FFFFFF" w:themeFill="background1"/>
            <w:vAlign w:val="center"/>
          </w:tcPr>
          <w:p w14:paraId="26636BE6" w14:textId="1F34E2EF" w:rsidR="007561F6" w:rsidRPr="00EE7729" w:rsidRDefault="007561F6" w:rsidP="007561F6">
            <w:pPr>
              <w:spacing w:line="240" w:lineRule="auto"/>
              <w:jc w:val="center"/>
              <w:rPr>
                <w:rFonts w:cs="Times New Roman"/>
                <w:b/>
                <w:szCs w:val="24"/>
              </w:rPr>
            </w:pPr>
            <w:r w:rsidRPr="00EE7729">
              <w:rPr>
                <w:rFonts w:cs="Times New Roman"/>
                <w:b/>
                <w:szCs w:val="24"/>
              </w:rPr>
              <w:t>D + R</w:t>
            </w:r>
          </w:p>
        </w:tc>
        <w:tc>
          <w:tcPr>
            <w:tcW w:w="1260" w:type="dxa"/>
            <w:tcBorders>
              <w:top w:val="single" w:sz="4" w:space="0" w:color="auto"/>
            </w:tcBorders>
            <w:shd w:val="clear" w:color="auto" w:fill="FFFFFF" w:themeFill="background1"/>
            <w:vAlign w:val="center"/>
          </w:tcPr>
          <w:p w14:paraId="4F2F302B" w14:textId="5873645C" w:rsidR="007561F6" w:rsidRPr="005646C5" w:rsidRDefault="007561F6" w:rsidP="007561F6">
            <w:pPr>
              <w:spacing w:line="240" w:lineRule="auto"/>
              <w:jc w:val="center"/>
              <w:rPr>
                <w:rFonts w:cs="Times New Roman"/>
                <w:szCs w:val="24"/>
              </w:rPr>
            </w:pPr>
            <w:r w:rsidRPr="005646C5">
              <w:rPr>
                <w:rFonts w:cs="Times New Roman"/>
                <w:szCs w:val="24"/>
              </w:rPr>
              <w:t>D + R</w:t>
            </w:r>
          </w:p>
        </w:tc>
        <w:tc>
          <w:tcPr>
            <w:tcW w:w="1260" w:type="dxa"/>
            <w:tcBorders>
              <w:top w:val="single" w:sz="4" w:space="0" w:color="auto"/>
            </w:tcBorders>
            <w:shd w:val="clear" w:color="auto" w:fill="FFFFFF" w:themeFill="background1"/>
            <w:vAlign w:val="center"/>
          </w:tcPr>
          <w:p w14:paraId="6057C4C0" w14:textId="28CAE6D9" w:rsidR="007561F6" w:rsidRPr="005646C5" w:rsidRDefault="007561F6" w:rsidP="007561F6">
            <w:pPr>
              <w:spacing w:line="240" w:lineRule="auto"/>
              <w:jc w:val="center"/>
              <w:rPr>
                <w:rFonts w:cs="Times New Roman"/>
                <w:szCs w:val="24"/>
              </w:rPr>
            </w:pPr>
            <w:r w:rsidRPr="005646C5">
              <w:rPr>
                <w:rFonts w:cs="Times New Roman"/>
                <w:szCs w:val="24"/>
              </w:rPr>
              <w:t>D + R</w:t>
            </w:r>
          </w:p>
        </w:tc>
        <w:tc>
          <w:tcPr>
            <w:tcW w:w="1260" w:type="dxa"/>
            <w:tcBorders>
              <w:top w:val="single" w:sz="4" w:space="0" w:color="auto"/>
            </w:tcBorders>
            <w:shd w:val="clear" w:color="auto" w:fill="FFFFFF" w:themeFill="background1"/>
            <w:vAlign w:val="center"/>
          </w:tcPr>
          <w:p w14:paraId="2223DF81"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260" w:type="dxa"/>
            <w:tcBorders>
              <w:top w:val="single" w:sz="4" w:space="0" w:color="auto"/>
            </w:tcBorders>
            <w:shd w:val="clear" w:color="auto" w:fill="FFFFFF" w:themeFill="background1"/>
            <w:vAlign w:val="center"/>
          </w:tcPr>
          <w:p w14:paraId="554224F7" w14:textId="212B9142" w:rsidR="007561F6" w:rsidRPr="005646C5" w:rsidRDefault="007561F6" w:rsidP="007561F6">
            <w:pPr>
              <w:spacing w:line="240" w:lineRule="auto"/>
              <w:jc w:val="center"/>
              <w:rPr>
                <w:rFonts w:cs="Times New Roman"/>
                <w:szCs w:val="24"/>
              </w:rPr>
            </w:pPr>
            <w:r w:rsidRPr="005646C5">
              <w:rPr>
                <w:rFonts w:cs="Times New Roman"/>
                <w:szCs w:val="24"/>
              </w:rPr>
              <w:t>D + R</w:t>
            </w:r>
          </w:p>
        </w:tc>
        <w:tc>
          <w:tcPr>
            <w:tcW w:w="1440" w:type="dxa"/>
            <w:tcBorders>
              <w:top w:val="single" w:sz="4" w:space="0" w:color="auto"/>
            </w:tcBorders>
            <w:shd w:val="clear" w:color="auto" w:fill="FFFFFF" w:themeFill="background1"/>
            <w:vAlign w:val="center"/>
          </w:tcPr>
          <w:p w14:paraId="6590EE0C" w14:textId="31E7BD57" w:rsidR="007561F6" w:rsidRPr="005646C5" w:rsidRDefault="007561F6" w:rsidP="007561F6">
            <w:pPr>
              <w:spacing w:line="240" w:lineRule="auto"/>
              <w:jc w:val="center"/>
              <w:rPr>
                <w:rFonts w:cs="Times New Roman"/>
                <w:szCs w:val="24"/>
              </w:rPr>
            </w:pPr>
            <w:r w:rsidRPr="005646C5">
              <w:rPr>
                <w:rFonts w:cs="Times New Roman"/>
                <w:szCs w:val="24"/>
              </w:rPr>
              <w:t>D + R</w:t>
            </w:r>
          </w:p>
        </w:tc>
      </w:tr>
      <w:tr w:rsidR="007561F6" w:rsidRPr="005646C5" w14:paraId="1924B188" w14:textId="77777777" w:rsidTr="00CF12B5">
        <w:tc>
          <w:tcPr>
            <w:tcW w:w="1620" w:type="dxa"/>
            <w:tcBorders>
              <w:bottom w:val="single" w:sz="4" w:space="0" w:color="auto"/>
            </w:tcBorders>
            <w:shd w:val="clear" w:color="auto" w:fill="FFFFFF" w:themeFill="background1"/>
            <w:vAlign w:val="center"/>
          </w:tcPr>
          <w:p w14:paraId="5D1B500C" w14:textId="77777777" w:rsidR="00272B4F" w:rsidRDefault="007561F6" w:rsidP="007561F6">
            <w:pPr>
              <w:spacing w:line="240" w:lineRule="auto"/>
              <w:jc w:val="center"/>
              <w:rPr>
                <w:rFonts w:cs="Times New Roman"/>
                <w:szCs w:val="24"/>
              </w:rPr>
            </w:pPr>
            <w:r w:rsidRPr="005646C5">
              <w:rPr>
                <w:rFonts w:cs="Times New Roman"/>
                <w:szCs w:val="24"/>
              </w:rPr>
              <w:t xml:space="preserve">Duration </w:t>
            </w:r>
          </w:p>
          <w:p w14:paraId="6DFB91A5" w14:textId="23F08497"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rPr>
              <w:t>Range</w:t>
            </w:r>
            <w:r w:rsidRPr="005646C5">
              <w:rPr>
                <w:rFonts w:cs="Times New Roman"/>
                <w:szCs w:val="24"/>
              </w:rPr>
              <w:t>] (days)</w:t>
            </w:r>
          </w:p>
        </w:tc>
        <w:tc>
          <w:tcPr>
            <w:tcW w:w="1260" w:type="dxa"/>
            <w:tcBorders>
              <w:bottom w:val="single" w:sz="4" w:space="0" w:color="auto"/>
            </w:tcBorders>
            <w:shd w:val="clear" w:color="auto" w:fill="FFFFFF" w:themeFill="background1"/>
            <w:vAlign w:val="center"/>
          </w:tcPr>
          <w:p w14:paraId="5F06B32F" w14:textId="77777777" w:rsidR="00272B4F" w:rsidRDefault="007561F6" w:rsidP="007561F6">
            <w:pPr>
              <w:spacing w:line="240" w:lineRule="auto"/>
              <w:jc w:val="center"/>
              <w:rPr>
                <w:rFonts w:cs="Times New Roman"/>
                <w:b/>
                <w:szCs w:val="24"/>
              </w:rPr>
            </w:pPr>
            <w:r w:rsidRPr="0029769E">
              <w:rPr>
                <w:rFonts w:cs="Times New Roman"/>
                <w:b/>
                <w:szCs w:val="24"/>
              </w:rPr>
              <w:t xml:space="preserve">387 </w:t>
            </w:r>
          </w:p>
          <w:p w14:paraId="670F49EB" w14:textId="1B8BD8BE" w:rsidR="007561F6" w:rsidRPr="0029769E" w:rsidRDefault="007561F6" w:rsidP="007561F6">
            <w:pPr>
              <w:spacing w:line="240" w:lineRule="auto"/>
              <w:jc w:val="center"/>
              <w:rPr>
                <w:rFonts w:cs="Times New Roman"/>
                <w:b/>
                <w:szCs w:val="24"/>
              </w:rPr>
            </w:pPr>
            <w:r w:rsidRPr="0029769E">
              <w:rPr>
                <w:rFonts w:cs="Times New Roman"/>
                <w:b/>
                <w:szCs w:val="24"/>
              </w:rPr>
              <w:t>[306 – 528]</w:t>
            </w:r>
          </w:p>
        </w:tc>
        <w:tc>
          <w:tcPr>
            <w:tcW w:w="1260" w:type="dxa"/>
            <w:tcBorders>
              <w:bottom w:val="single" w:sz="4" w:space="0" w:color="auto"/>
            </w:tcBorders>
            <w:shd w:val="clear" w:color="auto" w:fill="FFFFFF" w:themeFill="background1"/>
            <w:vAlign w:val="center"/>
          </w:tcPr>
          <w:p w14:paraId="46687065" w14:textId="77777777" w:rsidR="00272B4F" w:rsidRDefault="007561F6" w:rsidP="007561F6">
            <w:pPr>
              <w:spacing w:line="240" w:lineRule="auto"/>
              <w:jc w:val="center"/>
              <w:rPr>
                <w:rFonts w:cs="Times New Roman"/>
                <w:szCs w:val="24"/>
              </w:rPr>
            </w:pPr>
            <w:r w:rsidRPr="005646C5">
              <w:rPr>
                <w:rFonts w:cs="Times New Roman"/>
                <w:szCs w:val="24"/>
              </w:rPr>
              <w:t xml:space="preserve">211 </w:t>
            </w:r>
          </w:p>
          <w:p w14:paraId="5093BAA0" w14:textId="1C10AA78" w:rsidR="007561F6" w:rsidRPr="005646C5" w:rsidRDefault="007561F6" w:rsidP="007561F6">
            <w:pPr>
              <w:spacing w:line="240" w:lineRule="auto"/>
              <w:jc w:val="center"/>
              <w:rPr>
                <w:rFonts w:cs="Times New Roman"/>
                <w:szCs w:val="24"/>
              </w:rPr>
            </w:pPr>
            <w:r w:rsidRPr="005646C5">
              <w:rPr>
                <w:rFonts w:cs="Times New Roman"/>
                <w:szCs w:val="24"/>
              </w:rPr>
              <w:t>[178 – 259]</w:t>
            </w:r>
          </w:p>
        </w:tc>
        <w:tc>
          <w:tcPr>
            <w:tcW w:w="1260" w:type="dxa"/>
            <w:tcBorders>
              <w:bottom w:val="single" w:sz="4" w:space="0" w:color="auto"/>
            </w:tcBorders>
            <w:shd w:val="clear" w:color="auto" w:fill="FFFFFF" w:themeFill="background1"/>
            <w:vAlign w:val="center"/>
          </w:tcPr>
          <w:p w14:paraId="0F943078" w14:textId="77777777" w:rsidR="00272B4F" w:rsidRDefault="007561F6" w:rsidP="007561F6">
            <w:pPr>
              <w:spacing w:line="240" w:lineRule="auto"/>
              <w:jc w:val="center"/>
              <w:rPr>
                <w:rFonts w:cs="Times New Roman"/>
                <w:szCs w:val="24"/>
              </w:rPr>
            </w:pPr>
            <w:r>
              <w:rPr>
                <w:rFonts w:cs="Times New Roman"/>
                <w:szCs w:val="24"/>
              </w:rPr>
              <w:t>159</w:t>
            </w:r>
            <w:r w:rsidRPr="005646C5">
              <w:rPr>
                <w:rFonts w:cs="Times New Roman"/>
                <w:szCs w:val="24"/>
              </w:rPr>
              <w:t xml:space="preserve"> </w:t>
            </w:r>
          </w:p>
          <w:p w14:paraId="4E6B6870" w14:textId="742A232B"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szCs w:val="24"/>
              </w:rPr>
              <w:t>134</w:t>
            </w:r>
            <w:r w:rsidRPr="005646C5">
              <w:rPr>
                <w:rFonts w:cs="Times New Roman"/>
                <w:szCs w:val="24"/>
              </w:rPr>
              <w:t xml:space="preserve"> – </w:t>
            </w:r>
            <w:r>
              <w:rPr>
                <w:rFonts w:cs="Times New Roman"/>
                <w:szCs w:val="24"/>
              </w:rPr>
              <w:t>195</w:t>
            </w:r>
            <w:r w:rsidRPr="005646C5">
              <w:rPr>
                <w:rFonts w:cs="Times New Roman"/>
                <w:szCs w:val="24"/>
              </w:rPr>
              <w:t>]</w:t>
            </w:r>
          </w:p>
        </w:tc>
        <w:tc>
          <w:tcPr>
            <w:tcW w:w="1260" w:type="dxa"/>
            <w:tcBorders>
              <w:bottom w:val="single" w:sz="4" w:space="0" w:color="auto"/>
            </w:tcBorders>
            <w:shd w:val="clear" w:color="auto" w:fill="FFFFFF" w:themeFill="background1"/>
            <w:vAlign w:val="center"/>
          </w:tcPr>
          <w:p w14:paraId="09926223"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260" w:type="dxa"/>
            <w:tcBorders>
              <w:bottom w:val="single" w:sz="4" w:space="0" w:color="auto"/>
            </w:tcBorders>
            <w:shd w:val="clear" w:color="auto" w:fill="FFFFFF" w:themeFill="background1"/>
            <w:vAlign w:val="center"/>
          </w:tcPr>
          <w:p w14:paraId="72442A91" w14:textId="77777777" w:rsidR="00272B4F" w:rsidRDefault="007561F6" w:rsidP="007561F6">
            <w:pPr>
              <w:spacing w:line="240" w:lineRule="auto"/>
              <w:jc w:val="center"/>
              <w:rPr>
                <w:rFonts w:cs="Times New Roman"/>
                <w:szCs w:val="24"/>
              </w:rPr>
            </w:pPr>
            <w:r>
              <w:rPr>
                <w:rFonts w:cs="Times New Roman"/>
                <w:szCs w:val="24"/>
              </w:rPr>
              <w:t>237</w:t>
            </w:r>
            <w:r w:rsidRPr="005646C5">
              <w:rPr>
                <w:rFonts w:cs="Times New Roman"/>
                <w:szCs w:val="24"/>
              </w:rPr>
              <w:t xml:space="preserve"> </w:t>
            </w:r>
          </w:p>
          <w:p w14:paraId="4FCB9D33" w14:textId="4879587A"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szCs w:val="24"/>
              </w:rPr>
              <w:t>199</w:t>
            </w:r>
            <w:r w:rsidRPr="005646C5">
              <w:rPr>
                <w:rFonts w:cs="Times New Roman"/>
                <w:szCs w:val="24"/>
              </w:rPr>
              <w:t xml:space="preserve"> – </w:t>
            </w:r>
            <w:r>
              <w:rPr>
                <w:rFonts w:cs="Times New Roman"/>
                <w:szCs w:val="24"/>
              </w:rPr>
              <w:t>294</w:t>
            </w:r>
            <w:r w:rsidRPr="005646C5">
              <w:rPr>
                <w:rFonts w:cs="Times New Roman"/>
                <w:szCs w:val="24"/>
              </w:rPr>
              <w:t>]</w:t>
            </w:r>
          </w:p>
        </w:tc>
        <w:tc>
          <w:tcPr>
            <w:tcW w:w="1440" w:type="dxa"/>
            <w:tcBorders>
              <w:bottom w:val="single" w:sz="4" w:space="0" w:color="auto"/>
            </w:tcBorders>
            <w:shd w:val="clear" w:color="auto" w:fill="FFFFFF" w:themeFill="background1"/>
            <w:vAlign w:val="center"/>
          </w:tcPr>
          <w:p w14:paraId="1BF2D0E0" w14:textId="77777777" w:rsidR="00272B4F" w:rsidRDefault="007561F6" w:rsidP="007561F6">
            <w:pPr>
              <w:spacing w:line="240" w:lineRule="auto"/>
              <w:jc w:val="center"/>
              <w:rPr>
                <w:rFonts w:cs="Times New Roman"/>
                <w:szCs w:val="24"/>
              </w:rPr>
            </w:pPr>
            <w:r>
              <w:rPr>
                <w:rFonts w:cs="Times New Roman"/>
                <w:szCs w:val="24"/>
              </w:rPr>
              <w:t>172</w:t>
            </w:r>
            <w:r w:rsidRPr="005646C5">
              <w:rPr>
                <w:rFonts w:cs="Times New Roman"/>
                <w:szCs w:val="24"/>
              </w:rPr>
              <w:t xml:space="preserve"> </w:t>
            </w:r>
          </w:p>
          <w:p w14:paraId="515A881D" w14:textId="140842AE"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szCs w:val="24"/>
              </w:rPr>
              <w:t>147</w:t>
            </w:r>
            <w:r w:rsidRPr="005646C5">
              <w:rPr>
                <w:rFonts w:cs="Times New Roman"/>
                <w:szCs w:val="24"/>
              </w:rPr>
              <w:t xml:space="preserve"> – </w:t>
            </w:r>
            <w:r>
              <w:rPr>
                <w:rFonts w:cs="Times New Roman"/>
                <w:szCs w:val="24"/>
              </w:rPr>
              <w:t>207</w:t>
            </w:r>
            <w:r w:rsidRPr="005646C5">
              <w:rPr>
                <w:rFonts w:cs="Times New Roman"/>
                <w:szCs w:val="24"/>
              </w:rPr>
              <w:t>]</w:t>
            </w:r>
          </w:p>
        </w:tc>
      </w:tr>
      <w:tr w:rsidR="007561F6" w:rsidRPr="005646C5" w14:paraId="53D23A54" w14:textId="77777777" w:rsidTr="00CF12B5">
        <w:tc>
          <w:tcPr>
            <w:tcW w:w="1620" w:type="dxa"/>
            <w:tcBorders>
              <w:top w:val="single" w:sz="4" w:space="0" w:color="auto"/>
            </w:tcBorders>
            <w:shd w:val="clear" w:color="auto" w:fill="FFFFFF" w:themeFill="background1"/>
            <w:vAlign w:val="center"/>
          </w:tcPr>
          <w:p w14:paraId="2FBB5E96" w14:textId="77777777" w:rsidR="007561F6" w:rsidRPr="005646C5" w:rsidRDefault="007561F6" w:rsidP="007561F6">
            <w:pPr>
              <w:spacing w:line="240" w:lineRule="auto"/>
              <w:jc w:val="center"/>
              <w:rPr>
                <w:rFonts w:cs="Times New Roman"/>
                <w:szCs w:val="24"/>
              </w:rPr>
            </w:pPr>
            <w:r w:rsidRPr="005646C5">
              <w:rPr>
                <w:rFonts w:cs="Times New Roman"/>
                <w:szCs w:val="24"/>
              </w:rPr>
              <w:t>Season</w:t>
            </w:r>
          </w:p>
        </w:tc>
        <w:tc>
          <w:tcPr>
            <w:tcW w:w="1260" w:type="dxa"/>
            <w:tcBorders>
              <w:top w:val="single" w:sz="4" w:space="0" w:color="auto"/>
            </w:tcBorders>
            <w:shd w:val="clear" w:color="auto" w:fill="FFFFFF" w:themeFill="background1"/>
            <w:vAlign w:val="center"/>
          </w:tcPr>
          <w:p w14:paraId="42287277" w14:textId="77777777" w:rsidR="007561F6" w:rsidRPr="005646C5" w:rsidRDefault="007561F6" w:rsidP="007561F6">
            <w:pPr>
              <w:spacing w:line="240" w:lineRule="auto"/>
              <w:jc w:val="center"/>
              <w:rPr>
                <w:rFonts w:cs="Times New Roman"/>
                <w:szCs w:val="24"/>
              </w:rPr>
            </w:pPr>
            <w:r w:rsidRPr="005646C5">
              <w:rPr>
                <w:rFonts w:cs="Times New Roman"/>
                <w:szCs w:val="24"/>
              </w:rPr>
              <w:t>-</w:t>
            </w:r>
          </w:p>
        </w:tc>
        <w:tc>
          <w:tcPr>
            <w:tcW w:w="1260" w:type="dxa"/>
            <w:tcBorders>
              <w:top w:val="single" w:sz="4" w:space="0" w:color="auto"/>
            </w:tcBorders>
            <w:shd w:val="clear" w:color="auto" w:fill="FFFFFF" w:themeFill="background1"/>
            <w:vAlign w:val="center"/>
          </w:tcPr>
          <w:p w14:paraId="24BC0E22" w14:textId="0F9A924B" w:rsidR="007561F6" w:rsidRPr="005646C5" w:rsidRDefault="007561F6" w:rsidP="007561F6">
            <w:pPr>
              <w:spacing w:line="240" w:lineRule="auto"/>
              <w:jc w:val="center"/>
              <w:rPr>
                <w:rFonts w:cs="Times New Roman"/>
                <w:szCs w:val="24"/>
              </w:rPr>
            </w:pPr>
            <w:r w:rsidRPr="005646C5">
              <w:rPr>
                <w:rFonts w:cs="Times New Roman"/>
                <w:szCs w:val="24"/>
              </w:rPr>
              <w:t>R + D</w:t>
            </w:r>
          </w:p>
        </w:tc>
        <w:tc>
          <w:tcPr>
            <w:tcW w:w="1260" w:type="dxa"/>
            <w:tcBorders>
              <w:top w:val="single" w:sz="4" w:space="0" w:color="auto"/>
            </w:tcBorders>
            <w:shd w:val="clear" w:color="auto" w:fill="FFFFFF" w:themeFill="background1"/>
            <w:vAlign w:val="center"/>
          </w:tcPr>
          <w:p w14:paraId="5D76EC17" w14:textId="4DC3AFD1" w:rsidR="007561F6" w:rsidRPr="005646C5" w:rsidRDefault="007561F6" w:rsidP="007561F6">
            <w:pPr>
              <w:spacing w:line="240" w:lineRule="auto"/>
              <w:jc w:val="center"/>
              <w:rPr>
                <w:rFonts w:cs="Times New Roman"/>
                <w:szCs w:val="24"/>
              </w:rPr>
            </w:pPr>
            <w:r w:rsidRPr="005646C5">
              <w:rPr>
                <w:rFonts w:cs="Times New Roman"/>
                <w:szCs w:val="24"/>
              </w:rPr>
              <w:t>R + D</w:t>
            </w:r>
          </w:p>
        </w:tc>
        <w:tc>
          <w:tcPr>
            <w:tcW w:w="1260" w:type="dxa"/>
            <w:tcBorders>
              <w:top w:val="single" w:sz="4" w:space="0" w:color="auto"/>
            </w:tcBorders>
            <w:shd w:val="clear" w:color="auto" w:fill="FFFFFF" w:themeFill="background1"/>
            <w:vAlign w:val="center"/>
          </w:tcPr>
          <w:p w14:paraId="364C21F9"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260" w:type="dxa"/>
            <w:tcBorders>
              <w:top w:val="single" w:sz="4" w:space="0" w:color="auto"/>
            </w:tcBorders>
            <w:shd w:val="clear" w:color="auto" w:fill="FFFFFF" w:themeFill="background1"/>
            <w:vAlign w:val="center"/>
          </w:tcPr>
          <w:p w14:paraId="21C00B5A"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440" w:type="dxa"/>
            <w:tcBorders>
              <w:top w:val="single" w:sz="4" w:space="0" w:color="auto"/>
            </w:tcBorders>
            <w:shd w:val="clear" w:color="auto" w:fill="FFFFFF" w:themeFill="background1"/>
            <w:vAlign w:val="center"/>
          </w:tcPr>
          <w:p w14:paraId="5F803085" w14:textId="213B4DB2" w:rsidR="007561F6" w:rsidRPr="005646C5" w:rsidRDefault="007561F6" w:rsidP="007561F6">
            <w:pPr>
              <w:spacing w:line="240" w:lineRule="auto"/>
              <w:jc w:val="center"/>
              <w:rPr>
                <w:rFonts w:cs="Times New Roman"/>
                <w:szCs w:val="24"/>
              </w:rPr>
            </w:pPr>
            <w:r w:rsidRPr="005646C5">
              <w:rPr>
                <w:rFonts w:cs="Times New Roman"/>
                <w:szCs w:val="24"/>
              </w:rPr>
              <w:t>R + D</w:t>
            </w:r>
          </w:p>
        </w:tc>
      </w:tr>
      <w:tr w:rsidR="007561F6" w:rsidRPr="005646C5" w14:paraId="250FDDB8" w14:textId="77777777" w:rsidTr="00CF12B5">
        <w:tc>
          <w:tcPr>
            <w:tcW w:w="1620" w:type="dxa"/>
            <w:tcBorders>
              <w:bottom w:val="single" w:sz="4" w:space="0" w:color="auto"/>
            </w:tcBorders>
            <w:shd w:val="clear" w:color="auto" w:fill="FFFFFF" w:themeFill="background1"/>
            <w:vAlign w:val="center"/>
          </w:tcPr>
          <w:p w14:paraId="758B3619" w14:textId="77777777" w:rsidR="00272B4F" w:rsidRDefault="007561F6" w:rsidP="007561F6">
            <w:pPr>
              <w:spacing w:line="240" w:lineRule="auto"/>
              <w:jc w:val="center"/>
              <w:rPr>
                <w:rFonts w:cs="Times New Roman"/>
                <w:szCs w:val="24"/>
              </w:rPr>
            </w:pPr>
            <w:r w:rsidRPr="005646C5">
              <w:rPr>
                <w:rFonts w:cs="Times New Roman"/>
                <w:szCs w:val="24"/>
              </w:rPr>
              <w:t xml:space="preserve">Duration </w:t>
            </w:r>
          </w:p>
          <w:p w14:paraId="43148474" w14:textId="65FB5225"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rPr>
              <w:t>Range</w:t>
            </w:r>
            <w:r w:rsidRPr="005646C5">
              <w:rPr>
                <w:rFonts w:cs="Times New Roman"/>
                <w:szCs w:val="24"/>
              </w:rPr>
              <w:t>] (days)</w:t>
            </w:r>
          </w:p>
        </w:tc>
        <w:tc>
          <w:tcPr>
            <w:tcW w:w="1260" w:type="dxa"/>
            <w:tcBorders>
              <w:bottom w:val="single" w:sz="4" w:space="0" w:color="auto"/>
            </w:tcBorders>
            <w:shd w:val="clear" w:color="auto" w:fill="FFFFFF" w:themeFill="background1"/>
            <w:vAlign w:val="center"/>
          </w:tcPr>
          <w:p w14:paraId="052A2B1D" w14:textId="77777777" w:rsidR="007561F6" w:rsidRPr="005646C5" w:rsidRDefault="007561F6" w:rsidP="007561F6">
            <w:pPr>
              <w:spacing w:line="240" w:lineRule="auto"/>
              <w:jc w:val="center"/>
              <w:rPr>
                <w:rFonts w:cs="Times New Roman"/>
                <w:szCs w:val="24"/>
              </w:rPr>
            </w:pPr>
            <w:r w:rsidRPr="005646C5">
              <w:rPr>
                <w:rFonts w:cs="Times New Roman"/>
                <w:szCs w:val="24"/>
              </w:rPr>
              <w:t>-</w:t>
            </w:r>
          </w:p>
        </w:tc>
        <w:tc>
          <w:tcPr>
            <w:tcW w:w="1260" w:type="dxa"/>
            <w:tcBorders>
              <w:bottom w:val="single" w:sz="4" w:space="0" w:color="auto"/>
            </w:tcBorders>
            <w:shd w:val="clear" w:color="auto" w:fill="FFFFFF" w:themeFill="background1"/>
            <w:vAlign w:val="center"/>
          </w:tcPr>
          <w:p w14:paraId="40AF4A13" w14:textId="77777777" w:rsidR="00272B4F" w:rsidRDefault="007561F6" w:rsidP="007561F6">
            <w:pPr>
              <w:spacing w:line="240" w:lineRule="auto"/>
              <w:jc w:val="center"/>
              <w:rPr>
                <w:rFonts w:cs="Times New Roman"/>
                <w:szCs w:val="24"/>
              </w:rPr>
            </w:pPr>
            <w:r>
              <w:rPr>
                <w:rFonts w:cs="Times New Roman"/>
                <w:szCs w:val="24"/>
              </w:rPr>
              <w:t>260</w:t>
            </w:r>
            <w:r w:rsidRPr="005646C5">
              <w:rPr>
                <w:rFonts w:cs="Times New Roman"/>
                <w:szCs w:val="24"/>
              </w:rPr>
              <w:t xml:space="preserve"> </w:t>
            </w:r>
          </w:p>
          <w:p w14:paraId="3DC4AA43" w14:textId="3AB4AF21"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szCs w:val="24"/>
              </w:rPr>
              <w:t>209</w:t>
            </w:r>
            <w:r w:rsidRPr="005646C5">
              <w:rPr>
                <w:rFonts w:cs="Times New Roman"/>
                <w:szCs w:val="24"/>
              </w:rPr>
              <w:t xml:space="preserve"> – </w:t>
            </w:r>
            <w:r>
              <w:rPr>
                <w:rFonts w:cs="Times New Roman"/>
                <w:szCs w:val="24"/>
              </w:rPr>
              <w:t>346</w:t>
            </w:r>
            <w:r w:rsidRPr="005646C5">
              <w:rPr>
                <w:rFonts w:cs="Times New Roman"/>
                <w:szCs w:val="24"/>
              </w:rPr>
              <w:t>]</w:t>
            </w:r>
          </w:p>
        </w:tc>
        <w:tc>
          <w:tcPr>
            <w:tcW w:w="1260" w:type="dxa"/>
            <w:tcBorders>
              <w:bottom w:val="single" w:sz="4" w:space="0" w:color="auto"/>
            </w:tcBorders>
            <w:shd w:val="clear" w:color="auto" w:fill="FFFFFF" w:themeFill="background1"/>
            <w:vAlign w:val="center"/>
          </w:tcPr>
          <w:p w14:paraId="67F8A7DF" w14:textId="77777777" w:rsidR="00272B4F" w:rsidRDefault="007561F6" w:rsidP="007561F6">
            <w:pPr>
              <w:spacing w:line="240" w:lineRule="auto"/>
              <w:jc w:val="center"/>
              <w:rPr>
                <w:rFonts w:cs="Times New Roman"/>
                <w:szCs w:val="24"/>
              </w:rPr>
            </w:pPr>
            <w:r>
              <w:rPr>
                <w:rFonts w:cs="Times New Roman"/>
                <w:szCs w:val="24"/>
              </w:rPr>
              <w:t>122</w:t>
            </w:r>
            <w:r w:rsidRPr="005646C5">
              <w:rPr>
                <w:rFonts w:cs="Times New Roman"/>
                <w:szCs w:val="24"/>
              </w:rPr>
              <w:t xml:space="preserve"> </w:t>
            </w:r>
          </w:p>
          <w:p w14:paraId="3CC4A50E" w14:textId="2C8E3E4C"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szCs w:val="24"/>
              </w:rPr>
              <w:t>100</w:t>
            </w:r>
            <w:r w:rsidRPr="005646C5">
              <w:rPr>
                <w:rFonts w:cs="Times New Roman"/>
                <w:szCs w:val="24"/>
              </w:rPr>
              <w:t xml:space="preserve"> – </w:t>
            </w:r>
            <w:r>
              <w:rPr>
                <w:rFonts w:cs="Times New Roman"/>
                <w:szCs w:val="24"/>
              </w:rPr>
              <w:t>156</w:t>
            </w:r>
            <w:r w:rsidRPr="005646C5">
              <w:rPr>
                <w:rFonts w:cs="Times New Roman"/>
                <w:szCs w:val="24"/>
              </w:rPr>
              <w:t>]</w:t>
            </w:r>
          </w:p>
        </w:tc>
        <w:tc>
          <w:tcPr>
            <w:tcW w:w="1260" w:type="dxa"/>
            <w:tcBorders>
              <w:bottom w:val="single" w:sz="4" w:space="0" w:color="auto"/>
            </w:tcBorders>
            <w:shd w:val="clear" w:color="auto" w:fill="FFFFFF" w:themeFill="background1"/>
            <w:vAlign w:val="center"/>
          </w:tcPr>
          <w:p w14:paraId="5EFCE652"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260" w:type="dxa"/>
            <w:tcBorders>
              <w:bottom w:val="single" w:sz="4" w:space="0" w:color="auto"/>
            </w:tcBorders>
            <w:shd w:val="clear" w:color="auto" w:fill="FFFFFF" w:themeFill="background1"/>
            <w:vAlign w:val="center"/>
          </w:tcPr>
          <w:p w14:paraId="271CC8A2"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440" w:type="dxa"/>
            <w:tcBorders>
              <w:bottom w:val="single" w:sz="4" w:space="0" w:color="auto"/>
            </w:tcBorders>
            <w:shd w:val="clear" w:color="auto" w:fill="FFFFFF" w:themeFill="background1"/>
            <w:vAlign w:val="center"/>
          </w:tcPr>
          <w:p w14:paraId="1489EA3F" w14:textId="77777777" w:rsidR="00272B4F" w:rsidRDefault="007561F6" w:rsidP="007561F6">
            <w:pPr>
              <w:spacing w:line="240" w:lineRule="auto"/>
              <w:jc w:val="center"/>
              <w:rPr>
                <w:rFonts w:cs="Times New Roman"/>
                <w:szCs w:val="24"/>
              </w:rPr>
            </w:pPr>
            <w:r>
              <w:rPr>
                <w:rFonts w:cs="Times New Roman"/>
                <w:szCs w:val="24"/>
              </w:rPr>
              <w:t>228</w:t>
            </w:r>
            <w:r w:rsidRPr="005646C5">
              <w:rPr>
                <w:rFonts w:cs="Times New Roman"/>
                <w:szCs w:val="24"/>
              </w:rPr>
              <w:t xml:space="preserve"> </w:t>
            </w:r>
          </w:p>
          <w:p w14:paraId="1649B776" w14:textId="17F10643"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szCs w:val="24"/>
              </w:rPr>
              <w:t>188</w:t>
            </w:r>
            <w:r w:rsidRPr="005646C5">
              <w:rPr>
                <w:rFonts w:cs="Times New Roman"/>
                <w:szCs w:val="24"/>
              </w:rPr>
              <w:t xml:space="preserve"> – </w:t>
            </w:r>
            <w:r>
              <w:rPr>
                <w:rFonts w:cs="Times New Roman"/>
                <w:szCs w:val="24"/>
              </w:rPr>
              <w:t>291</w:t>
            </w:r>
            <w:r w:rsidRPr="005646C5">
              <w:rPr>
                <w:rFonts w:cs="Times New Roman"/>
                <w:szCs w:val="24"/>
              </w:rPr>
              <w:t>]</w:t>
            </w:r>
          </w:p>
        </w:tc>
      </w:tr>
      <w:tr w:rsidR="007561F6" w:rsidRPr="005646C5" w14:paraId="3442A576" w14:textId="77777777" w:rsidTr="00CF12B5">
        <w:tc>
          <w:tcPr>
            <w:tcW w:w="1620" w:type="dxa"/>
            <w:tcBorders>
              <w:top w:val="single" w:sz="4" w:space="0" w:color="auto"/>
            </w:tcBorders>
            <w:shd w:val="clear" w:color="auto" w:fill="FFFFFF" w:themeFill="background1"/>
            <w:vAlign w:val="center"/>
          </w:tcPr>
          <w:p w14:paraId="6CB9A9FE" w14:textId="77777777" w:rsidR="007561F6" w:rsidRPr="005646C5" w:rsidRDefault="007561F6" w:rsidP="007561F6">
            <w:pPr>
              <w:spacing w:line="240" w:lineRule="auto"/>
              <w:jc w:val="center"/>
              <w:rPr>
                <w:rFonts w:cs="Times New Roman"/>
                <w:szCs w:val="24"/>
              </w:rPr>
            </w:pPr>
            <w:r w:rsidRPr="005646C5">
              <w:rPr>
                <w:rFonts w:cs="Times New Roman"/>
                <w:szCs w:val="24"/>
              </w:rPr>
              <w:t>Season</w:t>
            </w:r>
          </w:p>
        </w:tc>
        <w:tc>
          <w:tcPr>
            <w:tcW w:w="1260" w:type="dxa"/>
            <w:tcBorders>
              <w:top w:val="single" w:sz="4" w:space="0" w:color="auto"/>
            </w:tcBorders>
            <w:shd w:val="clear" w:color="auto" w:fill="FFFFFF" w:themeFill="background1"/>
            <w:vAlign w:val="center"/>
          </w:tcPr>
          <w:p w14:paraId="29BB606C" w14:textId="77777777" w:rsidR="007561F6" w:rsidRPr="005646C5" w:rsidRDefault="007561F6" w:rsidP="007561F6">
            <w:pPr>
              <w:spacing w:line="240" w:lineRule="auto"/>
              <w:jc w:val="center"/>
              <w:rPr>
                <w:rFonts w:cs="Times New Roman"/>
                <w:szCs w:val="24"/>
              </w:rPr>
            </w:pPr>
            <w:r w:rsidRPr="005646C5">
              <w:rPr>
                <w:rFonts w:cs="Times New Roman"/>
                <w:szCs w:val="24"/>
              </w:rPr>
              <w:t>-</w:t>
            </w:r>
          </w:p>
        </w:tc>
        <w:tc>
          <w:tcPr>
            <w:tcW w:w="1260" w:type="dxa"/>
            <w:tcBorders>
              <w:top w:val="single" w:sz="4" w:space="0" w:color="auto"/>
            </w:tcBorders>
            <w:shd w:val="clear" w:color="auto" w:fill="FFFFFF" w:themeFill="background1"/>
            <w:vAlign w:val="center"/>
          </w:tcPr>
          <w:p w14:paraId="146EDF7C"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260" w:type="dxa"/>
            <w:tcBorders>
              <w:top w:val="single" w:sz="4" w:space="0" w:color="auto"/>
            </w:tcBorders>
            <w:shd w:val="clear" w:color="auto" w:fill="FFFFFF" w:themeFill="background1"/>
            <w:vAlign w:val="center"/>
          </w:tcPr>
          <w:p w14:paraId="7C806020"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260" w:type="dxa"/>
            <w:tcBorders>
              <w:top w:val="single" w:sz="4" w:space="0" w:color="auto"/>
            </w:tcBorders>
            <w:shd w:val="clear" w:color="auto" w:fill="FFFFFF" w:themeFill="background1"/>
            <w:vAlign w:val="center"/>
          </w:tcPr>
          <w:p w14:paraId="63F4A1C9"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260" w:type="dxa"/>
            <w:tcBorders>
              <w:top w:val="single" w:sz="4" w:space="0" w:color="auto"/>
            </w:tcBorders>
            <w:shd w:val="clear" w:color="auto" w:fill="FFFFFF" w:themeFill="background1"/>
            <w:vAlign w:val="center"/>
          </w:tcPr>
          <w:p w14:paraId="3AEF8718"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440" w:type="dxa"/>
            <w:tcBorders>
              <w:top w:val="single" w:sz="4" w:space="0" w:color="auto"/>
            </w:tcBorders>
            <w:shd w:val="clear" w:color="auto" w:fill="FFFFFF" w:themeFill="background1"/>
            <w:vAlign w:val="center"/>
          </w:tcPr>
          <w:p w14:paraId="121E6CDA" w14:textId="251C53D4" w:rsidR="007561F6" w:rsidRPr="00EE7729" w:rsidRDefault="007561F6" w:rsidP="007561F6">
            <w:pPr>
              <w:spacing w:line="240" w:lineRule="auto"/>
              <w:jc w:val="center"/>
              <w:rPr>
                <w:rFonts w:cs="Times New Roman"/>
                <w:b/>
                <w:szCs w:val="24"/>
              </w:rPr>
            </w:pPr>
            <w:r w:rsidRPr="00EE7729">
              <w:rPr>
                <w:rFonts w:cs="Times New Roman"/>
                <w:b/>
                <w:szCs w:val="24"/>
              </w:rPr>
              <w:t>D + R</w:t>
            </w:r>
          </w:p>
        </w:tc>
      </w:tr>
      <w:tr w:rsidR="007561F6" w:rsidRPr="005646C5" w14:paraId="14E2B065" w14:textId="77777777" w:rsidTr="00CF12B5">
        <w:tc>
          <w:tcPr>
            <w:tcW w:w="1620" w:type="dxa"/>
            <w:tcBorders>
              <w:bottom w:val="single" w:sz="4" w:space="0" w:color="auto"/>
            </w:tcBorders>
            <w:shd w:val="clear" w:color="auto" w:fill="FFFFFF" w:themeFill="background1"/>
            <w:vAlign w:val="center"/>
          </w:tcPr>
          <w:p w14:paraId="2D71B8D2" w14:textId="77777777" w:rsidR="00272B4F" w:rsidRDefault="007561F6" w:rsidP="007561F6">
            <w:pPr>
              <w:spacing w:line="240" w:lineRule="auto"/>
              <w:jc w:val="center"/>
              <w:rPr>
                <w:rFonts w:cs="Times New Roman"/>
                <w:szCs w:val="24"/>
              </w:rPr>
            </w:pPr>
            <w:r w:rsidRPr="005646C5">
              <w:rPr>
                <w:rFonts w:cs="Times New Roman"/>
                <w:szCs w:val="24"/>
              </w:rPr>
              <w:t xml:space="preserve">Duration </w:t>
            </w:r>
          </w:p>
          <w:p w14:paraId="7BD27788" w14:textId="6350CA67" w:rsidR="007561F6" w:rsidRPr="005646C5" w:rsidRDefault="007561F6" w:rsidP="007561F6">
            <w:pPr>
              <w:spacing w:line="240" w:lineRule="auto"/>
              <w:jc w:val="center"/>
              <w:rPr>
                <w:rFonts w:cs="Times New Roman"/>
                <w:szCs w:val="24"/>
              </w:rPr>
            </w:pPr>
            <w:r w:rsidRPr="005646C5">
              <w:rPr>
                <w:rFonts w:cs="Times New Roman"/>
                <w:szCs w:val="24"/>
              </w:rPr>
              <w:t>[</w:t>
            </w:r>
            <w:r>
              <w:rPr>
                <w:rFonts w:cs="Times New Roman"/>
              </w:rPr>
              <w:t>Range</w:t>
            </w:r>
            <w:r w:rsidRPr="005646C5">
              <w:rPr>
                <w:rFonts w:cs="Times New Roman"/>
                <w:szCs w:val="24"/>
              </w:rPr>
              <w:t>] (days)</w:t>
            </w:r>
          </w:p>
        </w:tc>
        <w:tc>
          <w:tcPr>
            <w:tcW w:w="1260" w:type="dxa"/>
            <w:tcBorders>
              <w:bottom w:val="single" w:sz="4" w:space="0" w:color="auto"/>
            </w:tcBorders>
            <w:shd w:val="clear" w:color="auto" w:fill="FFFFFF" w:themeFill="background1"/>
            <w:vAlign w:val="center"/>
          </w:tcPr>
          <w:p w14:paraId="54408A2D" w14:textId="77777777" w:rsidR="007561F6" w:rsidRPr="005646C5" w:rsidRDefault="007561F6" w:rsidP="007561F6">
            <w:pPr>
              <w:spacing w:line="240" w:lineRule="auto"/>
              <w:jc w:val="center"/>
              <w:rPr>
                <w:rFonts w:cs="Times New Roman"/>
                <w:szCs w:val="24"/>
              </w:rPr>
            </w:pPr>
            <w:r w:rsidRPr="005646C5">
              <w:rPr>
                <w:rFonts w:cs="Times New Roman"/>
                <w:szCs w:val="24"/>
              </w:rPr>
              <w:t>-</w:t>
            </w:r>
          </w:p>
        </w:tc>
        <w:tc>
          <w:tcPr>
            <w:tcW w:w="1260" w:type="dxa"/>
            <w:tcBorders>
              <w:bottom w:val="single" w:sz="4" w:space="0" w:color="auto"/>
            </w:tcBorders>
            <w:shd w:val="clear" w:color="auto" w:fill="FFFFFF" w:themeFill="background1"/>
            <w:vAlign w:val="center"/>
          </w:tcPr>
          <w:p w14:paraId="4B01BE3C" w14:textId="77777777" w:rsidR="007561F6" w:rsidRPr="005646C5" w:rsidRDefault="007561F6" w:rsidP="007561F6">
            <w:pPr>
              <w:spacing w:line="240" w:lineRule="auto"/>
              <w:jc w:val="center"/>
              <w:rPr>
                <w:rFonts w:cs="Times New Roman"/>
                <w:szCs w:val="24"/>
              </w:rPr>
            </w:pPr>
            <w:r w:rsidRPr="005646C5">
              <w:rPr>
                <w:rFonts w:cs="Times New Roman"/>
                <w:szCs w:val="24"/>
              </w:rPr>
              <w:t>-</w:t>
            </w:r>
          </w:p>
        </w:tc>
        <w:tc>
          <w:tcPr>
            <w:tcW w:w="1260" w:type="dxa"/>
            <w:tcBorders>
              <w:bottom w:val="single" w:sz="4" w:space="0" w:color="auto"/>
            </w:tcBorders>
            <w:shd w:val="clear" w:color="auto" w:fill="FFFFFF" w:themeFill="background1"/>
            <w:vAlign w:val="center"/>
          </w:tcPr>
          <w:p w14:paraId="1CEBCE21"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260" w:type="dxa"/>
            <w:tcBorders>
              <w:bottom w:val="single" w:sz="4" w:space="0" w:color="auto"/>
            </w:tcBorders>
            <w:shd w:val="clear" w:color="auto" w:fill="FFFFFF" w:themeFill="background1"/>
            <w:vAlign w:val="center"/>
          </w:tcPr>
          <w:p w14:paraId="1D4F82A9"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260" w:type="dxa"/>
            <w:tcBorders>
              <w:bottom w:val="single" w:sz="4" w:space="0" w:color="auto"/>
            </w:tcBorders>
            <w:shd w:val="clear" w:color="auto" w:fill="FFFFFF" w:themeFill="background1"/>
            <w:vAlign w:val="center"/>
          </w:tcPr>
          <w:p w14:paraId="0E54497E" w14:textId="77777777" w:rsidR="007561F6" w:rsidRPr="005646C5" w:rsidRDefault="007561F6" w:rsidP="007561F6">
            <w:pPr>
              <w:spacing w:line="240" w:lineRule="auto"/>
              <w:jc w:val="center"/>
              <w:rPr>
                <w:rFonts w:cs="Times New Roman"/>
                <w:szCs w:val="24"/>
              </w:rPr>
            </w:pPr>
            <w:r>
              <w:rPr>
                <w:rFonts w:cs="Times New Roman"/>
                <w:szCs w:val="24"/>
              </w:rPr>
              <w:t>-</w:t>
            </w:r>
          </w:p>
        </w:tc>
        <w:tc>
          <w:tcPr>
            <w:tcW w:w="1440" w:type="dxa"/>
            <w:tcBorders>
              <w:bottom w:val="single" w:sz="4" w:space="0" w:color="auto"/>
            </w:tcBorders>
            <w:shd w:val="clear" w:color="auto" w:fill="FFFFFF" w:themeFill="background1"/>
            <w:vAlign w:val="center"/>
          </w:tcPr>
          <w:p w14:paraId="063C4294" w14:textId="77777777" w:rsidR="00272B4F" w:rsidRDefault="007561F6" w:rsidP="007561F6">
            <w:pPr>
              <w:spacing w:line="240" w:lineRule="auto"/>
              <w:jc w:val="center"/>
              <w:rPr>
                <w:rFonts w:cs="Times New Roman"/>
                <w:b/>
                <w:szCs w:val="24"/>
              </w:rPr>
            </w:pPr>
            <w:r w:rsidRPr="0029769E">
              <w:rPr>
                <w:rFonts w:cs="Times New Roman"/>
                <w:b/>
                <w:szCs w:val="24"/>
              </w:rPr>
              <w:t xml:space="preserve">291 </w:t>
            </w:r>
          </w:p>
          <w:p w14:paraId="52940DCF" w14:textId="2E517683" w:rsidR="007561F6" w:rsidRPr="0029769E" w:rsidRDefault="007561F6" w:rsidP="007561F6">
            <w:pPr>
              <w:spacing w:line="240" w:lineRule="auto"/>
              <w:jc w:val="center"/>
              <w:rPr>
                <w:rFonts w:cs="Times New Roman"/>
                <w:b/>
                <w:szCs w:val="24"/>
              </w:rPr>
            </w:pPr>
            <w:r w:rsidRPr="0029769E">
              <w:rPr>
                <w:rFonts w:cs="Times New Roman"/>
                <w:b/>
                <w:szCs w:val="24"/>
              </w:rPr>
              <w:t>[233 – 390]</w:t>
            </w:r>
          </w:p>
        </w:tc>
      </w:tr>
      <w:bookmarkEnd w:id="9"/>
    </w:tbl>
    <w:p w14:paraId="167BE24C" w14:textId="1E036959" w:rsidR="00272B4F" w:rsidRDefault="00272B4F">
      <w:pPr>
        <w:spacing w:after="160" w:line="259" w:lineRule="auto"/>
        <w:rPr>
          <w:rFonts w:cs="Times New Roman"/>
        </w:rPr>
      </w:pPr>
      <w:r>
        <w:rPr>
          <w:rFonts w:cs="Times New Roman"/>
        </w:rPr>
        <w:br w:type="page"/>
      </w:r>
    </w:p>
    <w:p w14:paraId="74C0AD64" w14:textId="74101F77" w:rsidR="00C94160" w:rsidRDefault="00C94160" w:rsidP="00C94160">
      <w:pPr>
        <w:rPr>
          <w:rFonts w:cs="Times New Roman"/>
        </w:rPr>
      </w:pPr>
      <w:r w:rsidRPr="005715BD">
        <w:rPr>
          <w:rFonts w:cs="Times New Roman"/>
        </w:rPr>
        <w:lastRenderedPageBreak/>
        <w:t>Table S6</w:t>
      </w:r>
      <w:r>
        <w:rPr>
          <w:rFonts w:cs="Times New Roman"/>
        </w:rPr>
        <w:t xml:space="preserve">. </w:t>
      </w:r>
      <w:r w:rsidRPr="00600D01">
        <w:rPr>
          <w:rFonts w:cs="Times New Roman"/>
        </w:rPr>
        <w:t>Daily secretion rates (</w:t>
      </w:r>
      <w:r>
        <w:rPr>
          <w:rFonts w:cs="Times New Roman"/>
        </w:rPr>
        <w:t>DSR</w:t>
      </w:r>
      <w:r w:rsidRPr="00600D01">
        <w:rPr>
          <w:rFonts w:cs="Times New Roman"/>
        </w:rPr>
        <w:t>) measured along the</w:t>
      </w:r>
      <w:r>
        <w:rPr>
          <w:rFonts w:cs="Times New Roman"/>
        </w:rPr>
        <w:t xml:space="preserve"> prism path in different enamel regions; inner = close to EDJ, outer = close to outer enamel surface; upper = close to cusp tip, lower = close to cervix</w:t>
      </w:r>
      <w:r w:rsidR="00F87515">
        <w:rPr>
          <w:rFonts w:cs="Times New Roman"/>
        </w:rPr>
        <w:t>; Mean and SD values are italicized.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29" w:type="dxa"/>
          <w:left w:w="130" w:type="dxa"/>
          <w:bottom w:w="29" w:type="dxa"/>
          <w:right w:w="130" w:type="dxa"/>
        </w:tblCellMar>
        <w:tblLook w:val="04A0" w:firstRow="1" w:lastRow="0" w:firstColumn="1" w:lastColumn="0" w:noHBand="0" w:noVBand="1"/>
      </w:tblPr>
      <w:tblGrid>
        <w:gridCol w:w="1676"/>
        <w:gridCol w:w="800"/>
        <w:gridCol w:w="954"/>
        <w:gridCol w:w="807"/>
        <w:gridCol w:w="800"/>
        <w:gridCol w:w="954"/>
        <w:gridCol w:w="807"/>
        <w:gridCol w:w="1264"/>
        <w:gridCol w:w="1276"/>
      </w:tblGrid>
      <w:tr w:rsidR="007561F6" w:rsidRPr="005E2F3B" w14:paraId="0805F36D" w14:textId="77777777" w:rsidTr="00CF12B5">
        <w:trPr>
          <w:cantSplit/>
          <w:trHeight w:val="20"/>
        </w:trPr>
        <w:tc>
          <w:tcPr>
            <w:tcW w:w="0" w:type="auto"/>
            <w:tcBorders>
              <w:top w:val="single" w:sz="4" w:space="0" w:color="auto"/>
            </w:tcBorders>
            <w:shd w:val="clear" w:color="auto" w:fill="FFFFFF" w:themeFill="background1"/>
            <w:noWrap/>
            <w:vAlign w:val="center"/>
          </w:tcPr>
          <w:bookmarkEnd w:id="10"/>
          <w:p w14:paraId="26D7BD31" w14:textId="77777777" w:rsidR="007561F6" w:rsidRPr="005E2F3B" w:rsidRDefault="007561F6" w:rsidP="007561F6">
            <w:pPr>
              <w:spacing w:line="240" w:lineRule="auto"/>
              <w:jc w:val="center"/>
              <w:rPr>
                <w:rFonts w:eastAsia="Times New Roman" w:cs="Times New Roman"/>
                <w:bCs/>
                <w:color w:val="000000"/>
                <w:szCs w:val="24"/>
              </w:rPr>
            </w:pPr>
            <w:r>
              <w:rPr>
                <w:rFonts w:eastAsia="Times New Roman" w:cs="Times New Roman"/>
                <w:bCs/>
                <w:color w:val="000000"/>
                <w:szCs w:val="24"/>
              </w:rPr>
              <w:t>DSR (</w:t>
            </w:r>
            <w:proofErr w:type="spellStart"/>
            <w:r w:rsidRPr="00600D01">
              <w:rPr>
                <w:rFonts w:cs="Times New Roman"/>
              </w:rPr>
              <w:t>μ</w:t>
            </w:r>
            <w:r w:rsidRPr="00600D01">
              <w:t>m</w:t>
            </w:r>
            <w:proofErr w:type="spellEnd"/>
            <w:r>
              <w:t>/day)</w:t>
            </w:r>
          </w:p>
        </w:tc>
        <w:tc>
          <w:tcPr>
            <w:tcW w:w="0" w:type="auto"/>
            <w:gridSpan w:val="3"/>
            <w:tcBorders>
              <w:top w:val="single" w:sz="4" w:space="0" w:color="auto"/>
            </w:tcBorders>
            <w:shd w:val="clear" w:color="auto" w:fill="FFFFFF" w:themeFill="background1"/>
            <w:noWrap/>
            <w:vAlign w:val="center"/>
          </w:tcPr>
          <w:p w14:paraId="3D81D5B2" w14:textId="77777777" w:rsidR="007561F6" w:rsidRPr="005E2F3B" w:rsidRDefault="007561F6" w:rsidP="007561F6">
            <w:pPr>
              <w:spacing w:line="240" w:lineRule="auto"/>
              <w:jc w:val="center"/>
              <w:rPr>
                <w:rFonts w:eastAsia="Times New Roman" w:cs="Times New Roman"/>
                <w:bCs/>
                <w:color w:val="000000"/>
                <w:szCs w:val="24"/>
              </w:rPr>
            </w:pPr>
            <w:r w:rsidRPr="005E2F3B">
              <w:rPr>
                <w:rFonts w:eastAsia="Times New Roman" w:cs="Times New Roman"/>
                <w:bCs/>
                <w:color w:val="000000"/>
                <w:szCs w:val="24"/>
              </w:rPr>
              <w:t>Souron</w:t>
            </w:r>
            <w:r>
              <w:rPr>
                <w:rFonts w:eastAsia="Times New Roman" w:cs="Times New Roman"/>
                <w:bCs/>
                <w:color w:val="000000"/>
                <w:szCs w:val="24"/>
              </w:rPr>
              <w:t>1</w:t>
            </w:r>
            <w:r w:rsidRPr="005E2F3B">
              <w:rPr>
                <w:rFonts w:eastAsia="Times New Roman" w:cs="Times New Roman"/>
                <w:bCs/>
                <w:color w:val="000000"/>
                <w:szCs w:val="24"/>
              </w:rPr>
              <w:t xml:space="preserve"> UM3 Buccal</w:t>
            </w:r>
          </w:p>
        </w:tc>
        <w:tc>
          <w:tcPr>
            <w:tcW w:w="0" w:type="auto"/>
            <w:gridSpan w:val="3"/>
            <w:tcBorders>
              <w:top w:val="single" w:sz="4" w:space="0" w:color="auto"/>
            </w:tcBorders>
            <w:shd w:val="clear" w:color="auto" w:fill="FFFFFF" w:themeFill="background1"/>
            <w:vAlign w:val="center"/>
          </w:tcPr>
          <w:p w14:paraId="38EFDFC9" w14:textId="77777777" w:rsidR="007561F6" w:rsidRPr="005E2F3B" w:rsidRDefault="007561F6" w:rsidP="007561F6">
            <w:pPr>
              <w:spacing w:line="240" w:lineRule="auto"/>
              <w:jc w:val="center"/>
              <w:rPr>
                <w:rFonts w:cs="Times New Roman"/>
                <w:bCs/>
                <w:color w:val="000000"/>
                <w:szCs w:val="24"/>
              </w:rPr>
            </w:pPr>
            <w:r w:rsidRPr="005E2F3B">
              <w:rPr>
                <w:rFonts w:cs="Times New Roman"/>
                <w:bCs/>
                <w:color w:val="000000"/>
                <w:szCs w:val="24"/>
              </w:rPr>
              <w:t>NKU UM3 Buccal</w:t>
            </w:r>
          </w:p>
        </w:tc>
        <w:tc>
          <w:tcPr>
            <w:tcW w:w="0" w:type="auto"/>
            <w:gridSpan w:val="2"/>
            <w:tcBorders>
              <w:top w:val="single" w:sz="4" w:space="0" w:color="auto"/>
            </w:tcBorders>
            <w:shd w:val="clear" w:color="auto" w:fill="FFFFFF" w:themeFill="background1"/>
            <w:vAlign w:val="center"/>
          </w:tcPr>
          <w:p w14:paraId="6568FEDB" w14:textId="77777777" w:rsidR="007561F6" w:rsidRPr="005E2F3B" w:rsidRDefault="007561F6" w:rsidP="007561F6">
            <w:pPr>
              <w:spacing w:line="240" w:lineRule="auto"/>
              <w:jc w:val="center"/>
              <w:rPr>
                <w:rFonts w:cs="Times New Roman"/>
                <w:bCs/>
                <w:color w:val="000000"/>
                <w:szCs w:val="24"/>
              </w:rPr>
            </w:pPr>
            <w:r w:rsidRPr="005E2F3B">
              <w:rPr>
                <w:rFonts w:cs="Times New Roman"/>
                <w:bCs/>
                <w:color w:val="000000"/>
                <w:szCs w:val="24"/>
              </w:rPr>
              <w:t>Souron</w:t>
            </w:r>
            <w:r>
              <w:rPr>
                <w:rFonts w:cs="Times New Roman"/>
                <w:bCs/>
                <w:color w:val="000000"/>
                <w:szCs w:val="24"/>
              </w:rPr>
              <w:t>2</w:t>
            </w:r>
            <w:r w:rsidRPr="005E2F3B">
              <w:rPr>
                <w:rFonts w:cs="Times New Roman"/>
                <w:bCs/>
                <w:color w:val="000000"/>
                <w:szCs w:val="24"/>
              </w:rPr>
              <w:t xml:space="preserve"> Canine Buccal</w:t>
            </w:r>
          </w:p>
        </w:tc>
      </w:tr>
      <w:tr w:rsidR="007561F6" w:rsidRPr="005E2F3B" w14:paraId="1A77ECBB" w14:textId="77777777" w:rsidTr="00CF12B5">
        <w:trPr>
          <w:cantSplit/>
          <w:trHeight w:val="20"/>
        </w:trPr>
        <w:tc>
          <w:tcPr>
            <w:tcW w:w="0" w:type="auto"/>
            <w:tcBorders>
              <w:bottom w:val="single" w:sz="4" w:space="0" w:color="auto"/>
            </w:tcBorders>
            <w:shd w:val="clear" w:color="auto" w:fill="FFFFFF" w:themeFill="background1"/>
            <w:noWrap/>
            <w:vAlign w:val="center"/>
          </w:tcPr>
          <w:p w14:paraId="6758443C" w14:textId="77777777" w:rsidR="007561F6" w:rsidRPr="005E2F3B" w:rsidRDefault="007561F6" w:rsidP="007561F6">
            <w:pPr>
              <w:spacing w:line="240" w:lineRule="auto"/>
              <w:jc w:val="center"/>
              <w:rPr>
                <w:rFonts w:eastAsia="Times New Roman" w:cs="Times New Roman"/>
                <w:bCs/>
                <w:color w:val="000000"/>
                <w:szCs w:val="24"/>
              </w:rPr>
            </w:pPr>
            <w:r w:rsidRPr="005E2F3B">
              <w:rPr>
                <w:rFonts w:eastAsia="Times New Roman" w:cs="Times New Roman"/>
                <w:bCs/>
                <w:color w:val="000000"/>
                <w:szCs w:val="24"/>
              </w:rPr>
              <w:t>Crown region</w:t>
            </w:r>
          </w:p>
        </w:tc>
        <w:tc>
          <w:tcPr>
            <w:tcW w:w="0" w:type="auto"/>
            <w:tcBorders>
              <w:bottom w:val="single" w:sz="4" w:space="0" w:color="auto"/>
            </w:tcBorders>
            <w:shd w:val="clear" w:color="auto" w:fill="FFFFFF" w:themeFill="background1"/>
            <w:noWrap/>
            <w:vAlign w:val="center"/>
          </w:tcPr>
          <w:p w14:paraId="403E8F02" w14:textId="77777777" w:rsidR="007561F6" w:rsidRPr="005E2F3B" w:rsidRDefault="007561F6" w:rsidP="007561F6">
            <w:pPr>
              <w:spacing w:line="240" w:lineRule="auto"/>
              <w:jc w:val="center"/>
              <w:rPr>
                <w:rFonts w:eastAsia="Times New Roman" w:cs="Times New Roman"/>
                <w:bCs/>
                <w:color w:val="000000"/>
                <w:szCs w:val="24"/>
              </w:rPr>
            </w:pPr>
            <w:r w:rsidRPr="005E2F3B">
              <w:rPr>
                <w:rFonts w:eastAsia="Times New Roman" w:cs="Times New Roman"/>
                <w:bCs/>
                <w:color w:val="000000"/>
                <w:szCs w:val="24"/>
              </w:rPr>
              <w:t>Inner</w:t>
            </w:r>
          </w:p>
        </w:tc>
        <w:tc>
          <w:tcPr>
            <w:tcW w:w="0" w:type="auto"/>
            <w:tcBorders>
              <w:bottom w:val="single" w:sz="4" w:space="0" w:color="auto"/>
            </w:tcBorders>
            <w:shd w:val="clear" w:color="auto" w:fill="FFFFFF" w:themeFill="background1"/>
            <w:noWrap/>
            <w:vAlign w:val="center"/>
          </w:tcPr>
          <w:p w14:paraId="3B011811" w14:textId="77777777" w:rsidR="007561F6" w:rsidRPr="005E2F3B" w:rsidRDefault="007561F6" w:rsidP="007561F6">
            <w:pPr>
              <w:spacing w:line="240" w:lineRule="auto"/>
              <w:jc w:val="center"/>
              <w:rPr>
                <w:rFonts w:eastAsia="Times New Roman" w:cs="Times New Roman"/>
                <w:bCs/>
                <w:color w:val="000000"/>
                <w:szCs w:val="24"/>
              </w:rPr>
            </w:pPr>
            <w:r w:rsidRPr="005E2F3B">
              <w:rPr>
                <w:rFonts w:eastAsia="Times New Roman" w:cs="Times New Roman"/>
                <w:bCs/>
                <w:color w:val="000000"/>
                <w:szCs w:val="24"/>
              </w:rPr>
              <w:t>Middle</w:t>
            </w:r>
          </w:p>
        </w:tc>
        <w:tc>
          <w:tcPr>
            <w:tcW w:w="0" w:type="auto"/>
            <w:tcBorders>
              <w:bottom w:val="single" w:sz="4" w:space="0" w:color="auto"/>
            </w:tcBorders>
            <w:shd w:val="clear" w:color="auto" w:fill="FFFFFF" w:themeFill="background1"/>
            <w:noWrap/>
            <w:vAlign w:val="center"/>
          </w:tcPr>
          <w:p w14:paraId="340523EF" w14:textId="77777777" w:rsidR="007561F6" w:rsidRPr="005E2F3B" w:rsidRDefault="007561F6" w:rsidP="007561F6">
            <w:pPr>
              <w:spacing w:line="240" w:lineRule="auto"/>
              <w:jc w:val="center"/>
              <w:rPr>
                <w:rFonts w:eastAsia="Times New Roman" w:cs="Times New Roman"/>
                <w:bCs/>
                <w:color w:val="000000"/>
                <w:szCs w:val="24"/>
              </w:rPr>
            </w:pPr>
            <w:r w:rsidRPr="005E2F3B">
              <w:rPr>
                <w:rFonts w:eastAsia="Times New Roman" w:cs="Times New Roman"/>
                <w:bCs/>
                <w:color w:val="000000"/>
                <w:szCs w:val="24"/>
              </w:rPr>
              <w:t>Outer</w:t>
            </w:r>
          </w:p>
        </w:tc>
        <w:tc>
          <w:tcPr>
            <w:tcW w:w="0" w:type="auto"/>
            <w:tcBorders>
              <w:bottom w:val="single" w:sz="4" w:space="0" w:color="auto"/>
            </w:tcBorders>
            <w:shd w:val="clear" w:color="auto" w:fill="FFFFFF" w:themeFill="background1"/>
            <w:vAlign w:val="center"/>
          </w:tcPr>
          <w:p w14:paraId="444066E9" w14:textId="77777777" w:rsidR="007561F6" w:rsidRPr="005E2F3B" w:rsidRDefault="007561F6" w:rsidP="007561F6">
            <w:pPr>
              <w:spacing w:line="240" w:lineRule="auto"/>
              <w:jc w:val="center"/>
              <w:rPr>
                <w:rFonts w:cs="Times New Roman"/>
                <w:bCs/>
                <w:color w:val="000000"/>
                <w:szCs w:val="24"/>
              </w:rPr>
            </w:pPr>
            <w:r w:rsidRPr="005E2F3B">
              <w:rPr>
                <w:rFonts w:cs="Times New Roman"/>
                <w:bCs/>
                <w:color w:val="000000"/>
                <w:szCs w:val="24"/>
              </w:rPr>
              <w:t>Inner</w:t>
            </w:r>
          </w:p>
        </w:tc>
        <w:tc>
          <w:tcPr>
            <w:tcW w:w="0" w:type="auto"/>
            <w:tcBorders>
              <w:bottom w:val="single" w:sz="4" w:space="0" w:color="auto"/>
            </w:tcBorders>
            <w:shd w:val="clear" w:color="auto" w:fill="FFFFFF" w:themeFill="background1"/>
            <w:vAlign w:val="center"/>
          </w:tcPr>
          <w:p w14:paraId="75B8BF60" w14:textId="77777777" w:rsidR="007561F6" w:rsidRPr="005E2F3B" w:rsidRDefault="007561F6" w:rsidP="007561F6">
            <w:pPr>
              <w:spacing w:line="240" w:lineRule="auto"/>
              <w:jc w:val="center"/>
              <w:rPr>
                <w:rFonts w:cs="Times New Roman"/>
                <w:bCs/>
                <w:color w:val="000000"/>
                <w:szCs w:val="24"/>
              </w:rPr>
            </w:pPr>
            <w:r w:rsidRPr="005E2F3B">
              <w:rPr>
                <w:rFonts w:cs="Times New Roman"/>
                <w:bCs/>
                <w:color w:val="000000"/>
                <w:szCs w:val="24"/>
              </w:rPr>
              <w:t>Middle</w:t>
            </w:r>
          </w:p>
        </w:tc>
        <w:tc>
          <w:tcPr>
            <w:tcW w:w="0" w:type="auto"/>
            <w:tcBorders>
              <w:bottom w:val="single" w:sz="4" w:space="0" w:color="auto"/>
            </w:tcBorders>
            <w:shd w:val="clear" w:color="auto" w:fill="FFFFFF" w:themeFill="background1"/>
            <w:vAlign w:val="center"/>
          </w:tcPr>
          <w:p w14:paraId="4B92B1B2" w14:textId="77777777" w:rsidR="007561F6" w:rsidRPr="005E2F3B" w:rsidRDefault="007561F6" w:rsidP="007561F6">
            <w:pPr>
              <w:spacing w:line="240" w:lineRule="auto"/>
              <w:jc w:val="center"/>
              <w:rPr>
                <w:rFonts w:cs="Times New Roman"/>
                <w:bCs/>
                <w:color w:val="000000"/>
                <w:szCs w:val="24"/>
              </w:rPr>
            </w:pPr>
            <w:r w:rsidRPr="005E2F3B">
              <w:rPr>
                <w:rFonts w:cs="Times New Roman"/>
                <w:bCs/>
                <w:color w:val="000000"/>
                <w:szCs w:val="24"/>
              </w:rPr>
              <w:t>Outer</w:t>
            </w:r>
          </w:p>
        </w:tc>
        <w:tc>
          <w:tcPr>
            <w:tcW w:w="0" w:type="auto"/>
            <w:tcBorders>
              <w:bottom w:val="single" w:sz="4" w:space="0" w:color="auto"/>
            </w:tcBorders>
            <w:shd w:val="clear" w:color="auto" w:fill="FFFFFF" w:themeFill="background1"/>
            <w:vAlign w:val="center"/>
          </w:tcPr>
          <w:p w14:paraId="55B7E230" w14:textId="77777777" w:rsidR="007561F6" w:rsidRPr="005E2F3B" w:rsidRDefault="007561F6" w:rsidP="007561F6">
            <w:pPr>
              <w:spacing w:line="240" w:lineRule="auto"/>
              <w:jc w:val="center"/>
              <w:rPr>
                <w:rFonts w:cs="Times New Roman"/>
                <w:bCs/>
                <w:color w:val="000000"/>
                <w:szCs w:val="24"/>
              </w:rPr>
            </w:pPr>
            <w:r w:rsidRPr="005E2F3B">
              <w:rPr>
                <w:rFonts w:cs="Times New Roman"/>
                <w:bCs/>
                <w:color w:val="000000"/>
                <w:szCs w:val="24"/>
              </w:rPr>
              <w:t>Inner</w:t>
            </w:r>
          </w:p>
        </w:tc>
        <w:tc>
          <w:tcPr>
            <w:tcW w:w="0" w:type="auto"/>
            <w:tcBorders>
              <w:bottom w:val="single" w:sz="4" w:space="0" w:color="auto"/>
            </w:tcBorders>
            <w:shd w:val="clear" w:color="auto" w:fill="FFFFFF" w:themeFill="background1"/>
            <w:vAlign w:val="center"/>
          </w:tcPr>
          <w:p w14:paraId="0A6D3431" w14:textId="77777777" w:rsidR="007561F6" w:rsidRPr="005E2F3B" w:rsidRDefault="007561F6" w:rsidP="007561F6">
            <w:pPr>
              <w:spacing w:line="240" w:lineRule="auto"/>
              <w:jc w:val="center"/>
              <w:rPr>
                <w:rFonts w:cs="Times New Roman"/>
                <w:bCs/>
                <w:color w:val="000000"/>
                <w:szCs w:val="24"/>
              </w:rPr>
            </w:pPr>
            <w:r w:rsidRPr="005E2F3B">
              <w:rPr>
                <w:rFonts w:cs="Times New Roman"/>
                <w:bCs/>
                <w:color w:val="000000"/>
                <w:szCs w:val="24"/>
              </w:rPr>
              <w:t>Outer</w:t>
            </w:r>
          </w:p>
        </w:tc>
      </w:tr>
      <w:tr w:rsidR="007561F6" w:rsidRPr="005E2F3B" w14:paraId="27C0D243" w14:textId="77777777" w:rsidTr="00CF12B5">
        <w:trPr>
          <w:cantSplit/>
          <w:trHeight w:val="20"/>
        </w:trPr>
        <w:tc>
          <w:tcPr>
            <w:tcW w:w="0" w:type="auto"/>
            <w:tcBorders>
              <w:top w:val="single" w:sz="4" w:space="0" w:color="auto"/>
            </w:tcBorders>
            <w:shd w:val="clear" w:color="auto" w:fill="FFFFFF" w:themeFill="background1"/>
            <w:noWrap/>
            <w:vAlign w:val="center"/>
            <w:hideMark/>
          </w:tcPr>
          <w:p w14:paraId="05C18CDE"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Upper third</w:t>
            </w:r>
          </w:p>
        </w:tc>
        <w:tc>
          <w:tcPr>
            <w:tcW w:w="0" w:type="auto"/>
            <w:tcBorders>
              <w:top w:val="single" w:sz="4" w:space="0" w:color="auto"/>
            </w:tcBorders>
            <w:shd w:val="clear" w:color="auto" w:fill="FFFFFF" w:themeFill="background1"/>
            <w:noWrap/>
            <w:vAlign w:val="center"/>
            <w:hideMark/>
          </w:tcPr>
          <w:p w14:paraId="6D45C656"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19.08</w:t>
            </w:r>
          </w:p>
        </w:tc>
        <w:tc>
          <w:tcPr>
            <w:tcW w:w="0" w:type="auto"/>
            <w:tcBorders>
              <w:top w:val="single" w:sz="4" w:space="0" w:color="auto"/>
            </w:tcBorders>
            <w:shd w:val="clear" w:color="auto" w:fill="FFFFFF" w:themeFill="background1"/>
            <w:noWrap/>
            <w:vAlign w:val="center"/>
            <w:hideMark/>
          </w:tcPr>
          <w:p w14:paraId="28D6B918"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20.85</w:t>
            </w:r>
          </w:p>
        </w:tc>
        <w:tc>
          <w:tcPr>
            <w:tcW w:w="0" w:type="auto"/>
            <w:tcBorders>
              <w:top w:val="single" w:sz="4" w:space="0" w:color="auto"/>
            </w:tcBorders>
            <w:shd w:val="clear" w:color="auto" w:fill="FFFFFF" w:themeFill="background1"/>
            <w:noWrap/>
            <w:vAlign w:val="center"/>
            <w:hideMark/>
          </w:tcPr>
          <w:p w14:paraId="50879E44"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26.58</w:t>
            </w:r>
          </w:p>
        </w:tc>
        <w:tc>
          <w:tcPr>
            <w:tcW w:w="0" w:type="auto"/>
            <w:tcBorders>
              <w:top w:val="single" w:sz="4" w:space="0" w:color="auto"/>
            </w:tcBorders>
            <w:shd w:val="clear" w:color="auto" w:fill="FFFFFF" w:themeFill="background1"/>
            <w:vAlign w:val="center"/>
          </w:tcPr>
          <w:p w14:paraId="7DCF7AA7"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14.98</w:t>
            </w:r>
          </w:p>
        </w:tc>
        <w:tc>
          <w:tcPr>
            <w:tcW w:w="0" w:type="auto"/>
            <w:tcBorders>
              <w:top w:val="single" w:sz="4" w:space="0" w:color="auto"/>
            </w:tcBorders>
            <w:shd w:val="clear" w:color="auto" w:fill="FFFFFF" w:themeFill="background1"/>
            <w:vAlign w:val="center"/>
          </w:tcPr>
          <w:p w14:paraId="1BA164B6"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15.5</w:t>
            </w:r>
          </w:p>
        </w:tc>
        <w:tc>
          <w:tcPr>
            <w:tcW w:w="0" w:type="auto"/>
            <w:tcBorders>
              <w:top w:val="single" w:sz="4" w:space="0" w:color="auto"/>
            </w:tcBorders>
            <w:shd w:val="clear" w:color="auto" w:fill="FFFFFF" w:themeFill="background1"/>
            <w:vAlign w:val="center"/>
          </w:tcPr>
          <w:p w14:paraId="19A16054"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16.64</w:t>
            </w:r>
          </w:p>
        </w:tc>
        <w:tc>
          <w:tcPr>
            <w:tcW w:w="0" w:type="auto"/>
            <w:tcBorders>
              <w:top w:val="single" w:sz="4" w:space="0" w:color="auto"/>
            </w:tcBorders>
            <w:shd w:val="clear" w:color="auto" w:fill="FFFFFF" w:themeFill="background1"/>
            <w:vAlign w:val="center"/>
          </w:tcPr>
          <w:p w14:paraId="5EF9318F"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11.19</w:t>
            </w:r>
          </w:p>
        </w:tc>
        <w:tc>
          <w:tcPr>
            <w:tcW w:w="0" w:type="auto"/>
            <w:tcBorders>
              <w:top w:val="single" w:sz="4" w:space="0" w:color="auto"/>
            </w:tcBorders>
            <w:shd w:val="clear" w:color="auto" w:fill="FFFFFF" w:themeFill="background1"/>
            <w:vAlign w:val="center"/>
          </w:tcPr>
          <w:p w14:paraId="18EF19E3"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15.69</w:t>
            </w:r>
          </w:p>
        </w:tc>
      </w:tr>
      <w:tr w:rsidR="007561F6" w:rsidRPr="005E2F3B" w14:paraId="029B8BDE" w14:textId="77777777" w:rsidTr="00CF12B5">
        <w:trPr>
          <w:cantSplit/>
          <w:trHeight w:val="20"/>
        </w:trPr>
        <w:tc>
          <w:tcPr>
            <w:tcW w:w="0" w:type="auto"/>
            <w:shd w:val="clear" w:color="auto" w:fill="FFFFFF" w:themeFill="background1"/>
            <w:noWrap/>
            <w:vAlign w:val="center"/>
            <w:hideMark/>
          </w:tcPr>
          <w:p w14:paraId="2B4F220B"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15D9C156"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17.86</w:t>
            </w:r>
          </w:p>
        </w:tc>
        <w:tc>
          <w:tcPr>
            <w:tcW w:w="0" w:type="auto"/>
            <w:shd w:val="clear" w:color="auto" w:fill="FFFFFF" w:themeFill="background1"/>
            <w:noWrap/>
            <w:vAlign w:val="center"/>
            <w:hideMark/>
          </w:tcPr>
          <w:p w14:paraId="5DDAC2B4"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24.71</w:t>
            </w:r>
          </w:p>
        </w:tc>
        <w:tc>
          <w:tcPr>
            <w:tcW w:w="0" w:type="auto"/>
            <w:shd w:val="clear" w:color="auto" w:fill="FFFFFF" w:themeFill="background1"/>
            <w:noWrap/>
            <w:vAlign w:val="center"/>
            <w:hideMark/>
          </w:tcPr>
          <w:p w14:paraId="2C6C51A7"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21.75</w:t>
            </w:r>
          </w:p>
        </w:tc>
        <w:tc>
          <w:tcPr>
            <w:tcW w:w="0" w:type="auto"/>
            <w:shd w:val="clear" w:color="auto" w:fill="FFFFFF" w:themeFill="background1"/>
            <w:vAlign w:val="center"/>
          </w:tcPr>
          <w:p w14:paraId="52853A79"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15.58</w:t>
            </w:r>
          </w:p>
        </w:tc>
        <w:tc>
          <w:tcPr>
            <w:tcW w:w="0" w:type="auto"/>
            <w:shd w:val="clear" w:color="auto" w:fill="FFFFFF" w:themeFill="background1"/>
            <w:vAlign w:val="center"/>
          </w:tcPr>
          <w:p w14:paraId="5C2126BF"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15.76</w:t>
            </w:r>
          </w:p>
        </w:tc>
        <w:tc>
          <w:tcPr>
            <w:tcW w:w="0" w:type="auto"/>
            <w:shd w:val="clear" w:color="auto" w:fill="FFFFFF" w:themeFill="background1"/>
            <w:vAlign w:val="center"/>
          </w:tcPr>
          <w:p w14:paraId="7ED851B6"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16.93</w:t>
            </w:r>
          </w:p>
        </w:tc>
        <w:tc>
          <w:tcPr>
            <w:tcW w:w="0" w:type="auto"/>
            <w:shd w:val="clear" w:color="auto" w:fill="FFFFFF" w:themeFill="background1"/>
            <w:vAlign w:val="center"/>
          </w:tcPr>
          <w:p w14:paraId="4BC3BBA3"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12.61</w:t>
            </w:r>
          </w:p>
        </w:tc>
        <w:tc>
          <w:tcPr>
            <w:tcW w:w="0" w:type="auto"/>
            <w:shd w:val="clear" w:color="auto" w:fill="FFFFFF" w:themeFill="background1"/>
            <w:vAlign w:val="center"/>
          </w:tcPr>
          <w:p w14:paraId="2F023442"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15.2</w:t>
            </w:r>
          </w:p>
        </w:tc>
      </w:tr>
      <w:tr w:rsidR="007561F6" w:rsidRPr="005E2F3B" w14:paraId="696A2255" w14:textId="77777777" w:rsidTr="00CF12B5">
        <w:trPr>
          <w:cantSplit/>
          <w:trHeight w:val="20"/>
        </w:trPr>
        <w:tc>
          <w:tcPr>
            <w:tcW w:w="0" w:type="auto"/>
            <w:shd w:val="clear" w:color="auto" w:fill="FFFFFF" w:themeFill="background1"/>
            <w:noWrap/>
            <w:vAlign w:val="center"/>
            <w:hideMark/>
          </w:tcPr>
          <w:p w14:paraId="2451667E"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61D5B502"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19.19</w:t>
            </w:r>
          </w:p>
        </w:tc>
        <w:tc>
          <w:tcPr>
            <w:tcW w:w="0" w:type="auto"/>
            <w:shd w:val="clear" w:color="auto" w:fill="FFFFFF" w:themeFill="background1"/>
            <w:noWrap/>
            <w:vAlign w:val="center"/>
            <w:hideMark/>
          </w:tcPr>
          <w:p w14:paraId="5E8DF846"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22.44</w:t>
            </w:r>
          </w:p>
        </w:tc>
        <w:tc>
          <w:tcPr>
            <w:tcW w:w="0" w:type="auto"/>
            <w:shd w:val="clear" w:color="auto" w:fill="FFFFFF" w:themeFill="background1"/>
            <w:noWrap/>
            <w:vAlign w:val="center"/>
            <w:hideMark/>
          </w:tcPr>
          <w:p w14:paraId="077A7A83"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25.21</w:t>
            </w:r>
          </w:p>
        </w:tc>
        <w:tc>
          <w:tcPr>
            <w:tcW w:w="0" w:type="auto"/>
            <w:shd w:val="clear" w:color="auto" w:fill="FFFFFF" w:themeFill="background1"/>
            <w:vAlign w:val="center"/>
          </w:tcPr>
          <w:p w14:paraId="00BAA858"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14.38</w:t>
            </w:r>
          </w:p>
        </w:tc>
        <w:tc>
          <w:tcPr>
            <w:tcW w:w="0" w:type="auto"/>
            <w:shd w:val="clear" w:color="auto" w:fill="FFFFFF" w:themeFill="background1"/>
            <w:vAlign w:val="center"/>
          </w:tcPr>
          <w:p w14:paraId="13D8E6A7"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15.77</w:t>
            </w:r>
          </w:p>
        </w:tc>
        <w:tc>
          <w:tcPr>
            <w:tcW w:w="0" w:type="auto"/>
            <w:shd w:val="clear" w:color="auto" w:fill="FFFFFF" w:themeFill="background1"/>
            <w:vAlign w:val="center"/>
          </w:tcPr>
          <w:p w14:paraId="03154E5E"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16.99</w:t>
            </w:r>
          </w:p>
        </w:tc>
        <w:tc>
          <w:tcPr>
            <w:tcW w:w="0" w:type="auto"/>
            <w:shd w:val="clear" w:color="auto" w:fill="FFFFFF" w:themeFill="background1"/>
            <w:vAlign w:val="center"/>
          </w:tcPr>
          <w:p w14:paraId="636C25E1"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12.46</w:t>
            </w:r>
          </w:p>
        </w:tc>
        <w:tc>
          <w:tcPr>
            <w:tcW w:w="0" w:type="auto"/>
            <w:shd w:val="clear" w:color="auto" w:fill="FFFFFF" w:themeFill="background1"/>
            <w:vAlign w:val="center"/>
          </w:tcPr>
          <w:p w14:paraId="46F61400"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15.17</w:t>
            </w:r>
          </w:p>
        </w:tc>
      </w:tr>
      <w:tr w:rsidR="007561F6" w:rsidRPr="005E2F3B" w14:paraId="6C2D7963" w14:textId="77777777" w:rsidTr="00CF12B5">
        <w:trPr>
          <w:cantSplit/>
          <w:trHeight w:val="20"/>
        </w:trPr>
        <w:tc>
          <w:tcPr>
            <w:tcW w:w="0" w:type="auto"/>
            <w:shd w:val="clear" w:color="auto" w:fill="FFFFFF" w:themeFill="background1"/>
            <w:noWrap/>
            <w:vAlign w:val="center"/>
            <w:hideMark/>
          </w:tcPr>
          <w:p w14:paraId="27B40B05"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4117871F"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18.06</w:t>
            </w:r>
          </w:p>
        </w:tc>
        <w:tc>
          <w:tcPr>
            <w:tcW w:w="0" w:type="auto"/>
            <w:shd w:val="clear" w:color="auto" w:fill="FFFFFF" w:themeFill="background1"/>
            <w:noWrap/>
            <w:vAlign w:val="center"/>
            <w:hideMark/>
          </w:tcPr>
          <w:p w14:paraId="3EA794F7"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24.35</w:t>
            </w:r>
          </w:p>
        </w:tc>
        <w:tc>
          <w:tcPr>
            <w:tcW w:w="0" w:type="auto"/>
            <w:shd w:val="clear" w:color="auto" w:fill="FFFFFF" w:themeFill="background1"/>
            <w:noWrap/>
            <w:vAlign w:val="center"/>
            <w:hideMark/>
          </w:tcPr>
          <w:p w14:paraId="3E0AA65E"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22.38</w:t>
            </w:r>
          </w:p>
        </w:tc>
        <w:tc>
          <w:tcPr>
            <w:tcW w:w="0" w:type="auto"/>
            <w:shd w:val="clear" w:color="auto" w:fill="FFFFFF" w:themeFill="background1"/>
            <w:vAlign w:val="center"/>
          </w:tcPr>
          <w:p w14:paraId="399D276F"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13.98</w:t>
            </w:r>
          </w:p>
        </w:tc>
        <w:tc>
          <w:tcPr>
            <w:tcW w:w="0" w:type="auto"/>
            <w:shd w:val="clear" w:color="auto" w:fill="FFFFFF" w:themeFill="background1"/>
            <w:vAlign w:val="center"/>
          </w:tcPr>
          <w:p w14:paraId="5CFEAB82"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15.63</w:t>
            </w:r>
          </w:p>
        </w:tc>
        <w:tc>
          <w:tcPr>
            <w:tcW w:w="0" w:type="auto"/>
            <w:shd w:val="clear" w:color="auto" w:fill="FFFFFF" w:themeFill="background1"/>
            <w:vAlign w:val="center"/>
          </w:tcPr>
          <w:p w14:paraId="3106806E"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18.12</w:t>
            </w:r>
          </w:p>
        </w:tc>
        <w:tc>
          <w:tcPr>
            <w:tcW w:w="0" w:type="auto"/>
            <w:shd w:val="clear" w:color="auto" w:fill="FFFFFF" w:themeFill="background1"/>
            <w:vAlign w:val="center"/>
          </w:tcPr>
          <w:p w14:paraId="6179CC82"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11.95</w:t>
            </w:r>
          </w:p>
        </w:tc>
        <w:tc>
          <w:tcPr>
            <w:tcW w:w="0" w:type="auto"/>
            <w:shd w:val="clear" w:color="auto" w:fill="FFFFFF" w:themeFill="background1"/>
            <w:vAlign w:val="center"/>
          </w:tcPr>
          <w:p w14:paraId="18A77B2F"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15.18</w:t>
            </w:r>
          </w:p>
        </w:tc>
      </w:tr>
      <w:tr w:rsidR="007561F6" w:rsidRPr="005E2F3B" w14:paraId="62ADDF95" w14:textId="77777777" w:rsidTr="00CF12B5">
        <w:trPr>
          <w:cantSplit/>
          <w:trHeight w:val="20"/>
        </w:trPr>
        <w:tc>
          <w:tcPr>
            <w:tcW w:w="0" w:type="auto"/>
            <w:shd w:val="clear" w:color="auto" w:fill="FFFFFF" w:themeFill="background1"/>
            <w:noWrap/>
            <w:vAlign w:val="center"/>
            <w:hideMark/>
          </w:tcPr>
          <w:p w14:paraId="2796B776"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5C09044E"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18.26</w:t>
            </w:r>
          </w:p>
        </w:tc>
        <w:tc>
          <w:tcPr>
            <w:tcW w:w="0" w:type="auto"/>
            <w:shd w:val="clear" w:color="auto" w:fill="FFFFFF" w:themeFill="background1"/>
            <w:noWrap/>
            <w:vAlign w:val="center"/>
            <w:hideMark/>
          </w:tcPr>
          <w:p w14:paraId="60F70764"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20.71</w:t>
            </w:r>
          </w:p>
        </w:tc>
        <w:tc>
          <w:tcPr>
            <w:tcW w:w="0" w:type="auto"/>
            <w:shd w:val="clear" w:color="auto" w:fill="FFFFFF" w:themeFill="background1"/>
            <w:noWrap/>
            <w:vAlign w:val="center"/>
            <w:hideMark/>
          </w:tcPr>
          <w:p w14:paraId="7FE3661C"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26.35</w:t>
            </w:r>
          </w:p>
        </w:tc>
        <w:tc>
          <w:tcPr>
            <w:tcW w:w="0" w:type="auto"/>
            <w:shd w:val="clear" w:color="auto" w:fill="FFFFFF" w:themeFill="background1"/>
            <w:vAlign w:val="center"/>
          </w:tcPr>
          <w:p w14:paraId="51D137C2"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15.06</w:t>
            </w:r>
          </w:p>
        </w:tc>
        <w:tc>
          <w:tcPr>
            <w:tcW w:w="0" w:type="auto"/>
            <w:shd w:val="clear" w:color="auto" w:fill="FFFFFF" w:themeFill="background1"/>
            <w:vAlign w:val="center"/>
          </w:tcPr>
          <w:p w14:paraId="6254E36B"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15.9</w:t>
            </w:r>
          </w:p>
        </w:tc>
        <w:tc>
          <w:tcPr>
            <w:tcW w:w="0" w:type="auto"/>
            <w:shd w:val="clear" w:color="auto" w:fill="FFFFFF" w:themeFill="background1"/>
            <w:vAlign w:val="center"/>
          </w:tcPr>
          <w:p w14:paraId="6DA566D2"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19.34</w:t>
            </w:r>
          </w:p>
        </w:tc>
        <w:tc>
          <w:tcPr>
            <w:tcW w:w="0" w:type="auto"/>
            <w:shd w:val="clear" w:color="auto" w:fill="FFFFFF" w:themeFill="background1"/>
            <w:vAlign w:val="center"/>
          </w:tcPr>
          <w:p w14:paraId="7D667627"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11.58</w:t>
            </w:r>
          </w:p>
        </w:tc>
        <w:tc>
          <w:tcPr>
            <w:tcW w:w="0" w:type="auto"/>
            <w:shd w:val="clear" w:color="auto" w:fill="FFFFFF" w:themeFill="background1"/>
            <w:vAlign w:val="center"/>
          </w:tcPr>
          <w:p w14:paraId="5ECFBDB6"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14.77</w:t>
            </w:r>
          </w:p>
        </w:tc>
      </w:tr>
      <w:tr w:rsidR="007561F6" w:rsidRPr="005E2F3B" w14:paraId="0221753B" w14:textId="77777777" w:rsidTr="00CF12B5">
        <w:trPr>
          <w:cantSplit/>
          <w:trHeight w:val="20"/>
        </w:trPr>
        <w:tc>
          <w:tcPr>
            <w:tcW w:w="0" w:type="auto"/>
            <w:shd w:val="clear" w:color="auto" w:fill="FFFFFF" w:themeFill="background1"/>
            <w:noWrap/>
            <w:vAlign w:val="center"/>
            <w:hideMark/>
          </w:tcPr>
          <w:p w14:paraId="4367499F" w14:textId="77777777" w:rsidR="007561F6" w:rsidRPr="005E2F3B" w:rsidRDefault="007561F6" w:rsidP="007561F6">
            <w:pPr>
              <w:spacing w:line="240" w:lineRule="auto"/>
              <w:jc w:val="center"/>
              <w:rPr>
                <w:rFonts w:eastAsia="Times New Roman" w:cs="Times New Roman"/>
                <w:bCs/>
                <w:color w:val="000000"/>
                <w:szCs w:val="24"/>
              </w:rPr>
            </w:pPr>
            <w:r w:rsidRPr="005E2F3B">
              <w:rPr>
                <w:rFonts w:eastAsia="Times New Roman" w:cs="Times New Roman"/>
                <w:bCs/>
                <w:color w:val="000000"/>
                <w:szCs w:val="24"/>
              </w:rPr>
              <w:t>Mean</w:t>
            </w:r>
          </w:p>
        </w:tc>
        <w:tc>
          <w:tcPr>
            <w:tcW w:w="0" w:type="auto"/>
            <w:shd w:val="clear" w:color="auto" w:fill="FFFFFF" w:themeFill="background1"/>
            <w:noWrap/>
            <w:vAlign w:val="center"/>
            <w:hideMark/>
          </w:tcPr>
          <w:p w14:paraId="6C802137" w14:textId="77777777" w:rsidR="007561F6" w:rsidRPr="00F87515" w:rsidRDefault="007561F6" w:rsidP="007561F6">
            <w:pPr>
              <w:spacing w:line="240" w:lineRule="auto"/>
              <w:jc w:val="center"/>
              <w:rPr>
                <w:rFonts w:eastAsia="Times New Roman" w:cs="Times New Roman"/>
                <w:bCs/>
                <w:i/>
                <w:iCs/>
                <w:color w:val="000000"/>
                <w:szCs w:val="24"/>
              </w:rPr>
            </w:pPr>
            <w:r w:rsidRPr="00F87515">
              <w:rPr>
                <w:rFonts w:eastAsia="Times New Roman" w:cs="Times New Roman"/>
                <w:bCs/>
                <w:i/>
                <w:iCs/>
                <w:color w:val="000000"/>
                <w:szCs w:val="24"/>
              </w:rPr>
              <w:t>18.49</w:t>
            </w:r>
          </w:p>
        </w:tc>
        <w:tc>
          <w:tcPr>
            <w:tcW w:w="0" w:type="auto"/>
            <w:shd w:val="clear" w:color="auto" w:fill="FFFFFF" w:themeFill="background1"/>
            <w:noWrap/>
            <w:vAlign w:val="center"/>
            <w:hideMark/>
          </w:tcPr>
          <w:p w14:paraId="0A872DA0" w14:textId="77777777" w:rsidR="007561F6" w:rsidRPr="00F87515" w:rsidRDefault="007561F6" w:rsidP="007561F6">
            <w:pPr>
              <w:spacing w:line="240" w:lineRule="auto"/>
              <w:jc w:val="center"/>
              <w:rPr>
                <w:rFonts w:eastAsia="Times New Roman" w:cs="Times New Roman"/>
                <w:bCs/>
                <w:i/>
                <w:iCs/>
                <w:color w:val="000000"/>
                <w:szCs w:val="24"/>
              </w:rPr>
            </w:pPr>
            <w:r w:rsidRPr="00F87515">
              <w:rPr>
                <w:rFonts w:eastAsia="Times New Roman" w:cs="Times New Roman"/>
                <w:bCs/>
                <w:i/>
                <w:iCs/>
                <w:color w:val="000000"/>
                <w:szCs w:val="24"/>
              </w:rPr>
              <w:t>22.61</w:t>
            </w:r>
          </w:p>
        </w:tc>
        <w:tc>
          <w:tcPr>
            <w:tcW w:w="0" w:type="auto"/>
            <w:shd w:val="clear" w:color="auto" w:fill="FFFFFF" w:themeFill="background1"/>
            <w:noWrap/>
            <w:vAlign w:val="center"/>
            <w:hideMark/>
          </w:tcPr>
          <w:p w14:paraId="7EEE034D" w14:textId="77777777" w:rsidR="007561F6" w:rsidRPr="00F87515" w:rsidRDefault="007561F6" w:rsidP="007561F6">
            <w:pPr>
              <w:spacing w:line="240" w:lineRule="auto"/>
              <w:jc w:val="center"/>
              <w:rPr>
                <w:rFonts w:eastAsia="Times New Roman" w:cs="Times New Roman"/>
                <w:bCs/>
                <w:i/>
                <w:iCs/>
                <w:color w:val="000000"/>
                <w:szCs w:val="24"/>
              </w:rPr>
            </w:pPr>
            <w:r w:rsidRPr="00F87515">
              <w:rPr>
                <w:rFonts w:eastAsia="Times New Roman" w:cs="Times New Roman"/>
                <w:bCs/>
                <w:i/>
                <w:iCs/>
                <w:color w:val="000000"/>
                <w:szCs w:val="24"/>
              </w:rPr>
              <w:t>24.45</w:t>
            </w:r>
          </w:p>
        </w:tc>
        <w:tc>
          <w:tcPr>
            <w:tcW w:w="0" w:type="auto"/>
            <w:shd w:val="clear" w:color="auto" w:fill="FFFFFF" w:themeFill="background1"/>
            <w:vAlign w:val="center"/>
          </w:tcPr>
          <w:p w14:paraId="0C019950"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14.80</w:t>
            </w:r>
          </w:p>
        </w:tc>
        <w:tc>
          <w:tcPr>
            <w:tcW w:w="0" w:type="auto"/>
            <w:shd w:val="clear" w:color="auto" w:fill="FFFFFF" w:themeFill="background1"/>
            <w:vAlign w:val="center"/>
          </w:tcPr>
          <w:p w14:paraId="34633AC0"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15.71</w:t>
            </w:r>
          </w:p>
        </w:tc>
        <w:tc>
          <w:tcPr>
            <w:tcW w:w="0" w:type="auto"/>
            <w:shd w:val="clear" w:color="auto" w:fill="FFFFFF" w:themeFill="background1"/>
            <w:vAlign w:val="center"/>
          </w:tcPr>
          <w:p w14:paraId="5DD1A36D"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17.60</w:t>
            </w:r>
          </w:p>
        </w:tc>
        <w:tc>
          <w:tcPr>
            <w:tcW w:w="0" w:type="auto"/>
            <w:shd w:val="clear" w:color="auto" w:fill="FFFFFF" w:themeFill="background1"/>
            <w:vAlign w:val="center"/>
          </w:tcPr>
          <w:p w14:paraId="4E7777F8"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11.96</w:t>
            </w:r>
          </w:p>
        </w:tc>
        <w:tc>
          <w:tcPr>
            <w:tcW w:w="0" w:type="auto"/>
            <w:shd w:val="clear" w:color="auto" w:fill="FFFFFF" w:themeFill="background1"/>
            <w:vAlign w:val="center"/>
          </w:tcPr>
          <w:p w14:paraId="58424A19"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15.20</w:t>
            </w:r>
          </w:p>
        </w:tc>
      </w:tr>
      <w:tr w:rsidR="007561F6" w:rsidRPr="005E2F3B" w14:paraId="13CD9C44" w14:textId="77777777" w:rsidTr="00CF12B5">
        <w:trPr>
          <w:cantSplit/>
          <w:trHeight w:val="20"/>
        </w:trPr>
        <w:tc>
          <w:tcPr>
            <w:tcW w:w="0" w:type="auto"/>
            <w:tcBorders>
              <w:bottom w:val="single" w:sz="4" w:space="0" w:color="auto"/>
            </w:tcBorders>
            <w:shd w:val="clear" w:color="auto" w:fill="FFFFFF" w:themeFill="background1"/>
            <w:noWrap/>
            <w:vAlign w:val="center"/>
            <w:hideMark/>
          </w:tcPr>
          <w:p w14:paraId="589B0B3C"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SD</w:t>
            </w:r>
          </w:p>
        </w:tc>
        <w:tc>
          <w:tcPr>
            <w:tcW w:w="0" w:type="auto"/>
            <w:tcBorders>
              <w:bottom w:val="single" w:sz="4" w:space="0" w:color="auto"/>
            </w:tcBorders>
            <w:shd w:val="clear" w:color="auto" w:fill="FFFFFF" w:themeFill="background1"/>
            <w:noWrap/>
            <w:vAlign w:val="center"/>
            <w:hideMark/>
          </w:tcPr>
          <w:p w14:paraId="4F0ADC7B" w14:textId="77777777" w:rsidR="007561F6" w:rsidRPr="00F87515" w:rsidRDefault="007561F6" w:rsidP="007561F6">
            <w:pPr>
              <w:spacing w:line="240" w:lineRule="auto"/>
              <w:jc w:val="center"/>
              <w:rPr>
                <w:rFonts w:eastAsia="Times New Roman" w:cs="Times New Roman"/>
                <w:i/>
                <w:iCs/>
                <w:color w:val="000000"/>
                <w:szCs w:val="24"/>
              </w:rPr>
            </w:pPr>
            <w:r w:rsidRPr="00F87515">
              <w:rPr>
                <w:rFonts w:eastAsia="Times New Roman" w:cs="Times New Roman"/>
                <w:i/>
                <w:iCs/>
                <w:color w:val="000000"/>
                <w:szCs w:val="24"/>
              </w:rPr>
              <w:t>0.61</w:t>
            </w:r>
          </w:p>
        </w:tc>
        <w:tc>
          <w:tcPr>
            <w:tcW w:w="0" w:type="auto"/>
            <w:tcBorders>
              <w:bottom w:val="single" w:sz="4" w:space="0" w:color="auto"/>
            </w:tcBorders>
            <w:shd w:val="clear" w:color="auto" w:fill="FFFFFF" w:themeFill="background1"/>
            <w:noWrap/>
            <w:vAlign w:val="center"/>
            <w:hideMark/>
          </w:tcPr>
          <w:p w14:paraId="6EB949CD" w14:textId="77777777" w:rsidR="007561F6" w:rsidRPr="00F87515" w:rsidRDefault="007561F6" w:rsidP="007561F6">
            <w:pPr>
              <w:spacing w:line="240" w:lineRule="auto"/>
              <w:jc w:val="center"/>
              <w:rPr>
                <w:rFonts w:eastAsia="Times New Roman" w:cs="Times New Roman"/>
                <w:i/>
                <w:iCs/>
                <w:color w:val="000000"/>
                <w:szCs w:val="24"/>
              </w:rPr>
            </w:pPr>
            <w:r w:rsidRPr="00F87515">
              <w:rPr>
                <w:rFonts w:eastAsia="Times New Roman" w:cs="Times New Roman"/>
                <w:i/>
                <w:iCs/>
                <w:color w:val="000000"/>
                <w:szCs w:val="24"/>
              </w:rPr>
              <w:t>1.88</w:t>
            </w:r>
          </w:p>
        </w:tc>
        <w:tc>
          <w:tcPr>
            <w:tcW w:w="0" w:type="auto"/>
            <w:tcBorders>
              <w:bottom w:val="single" w:sz="4" w:space="0" w:color="auto"/>
            </w:tcBorders>
            <w:shd w:val="clear" w:color="auto" w:fill="FFFFFF" w:themeFill="background1"/>
            <w:noWrap/>
            <w:vAlign w:val="center"/>
            <w:hideMark/>
          </w:tcPr>
          <w:p w14:paraId="5551259F" w14:textId="77777777" w:rsidR="007561F6" w:rsidRPr="00F87515" w:rsidRDefault="007561F6" w:rsidP="007561F6">
            <w:pPr>
              <w:spacing w:line="240" w:lineRule="auto"/>
              <w:jc w:val="center"/>
              <w:rPr>
                <w:rFonts w:eastAsia="Times New Roman" w:cs="Times New Roman"/>
                <w:i/>
                <w:iCs/>
                <w:color w:val="000000"/>
                <w:szCs w:val="24"/>
              </w:rPr>
            </w:pPr>
            <w:r w:rsidRPr="00F87515">
              <w:rPr>
                <w:rFonts w:eastAsia="Times New Roman" w:cs="Times New Roman"/>
                <w:i/>
                <w:iCs/>
                <w:color w:val="000000"/>
                <w:szCs w:val="24"/>
              </w:rPr>
              <w:t>2.25</w:t>
            </w:r>
          </w:p>
        </w:tc>
        <w:tc>
          <w:tcPr>
            <w:tcW w:w="0" w:type="auto"/>
            <w:tcBorders>
              <w:bottom w:val="single" w:sz="4" w:space="0" w:color="auto"/>
            </w:tcBorders>
            <w:shd w:val="clear" w:color="auto" w:fill="FFFFFF" w:themeFill="background1"/>
            <w:vAlign w:val="center"/>
          </w:tcPr>
          <w:p w14:paraId="251D312F"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0.62</w:t>
            </w:r>
          </w:p>
        </w:tc>
        <w:tc>
          <w:tcPr>
            <w:tcW w:w="0" w:type="auto"/>
            <w:tcBorders>
              <w:bottom w:val="single" w:sz="4" w:space="0" w:color="auto"/>
            </w:tcBorders>
            <w:shd w:val="clear" w:color="auto" w:fill="FFFFFF" w:themeFill="background1"/>
            <w:vAlign w:val="center"/>
          </w:tcPr>
          <w:p w14:paraId="6BF4AB8B"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0.15</w:t>
            </w:r>
          </w:p>
        </w:tc>
        <w:tc>
          <w:tcPr>
            <w:tcW w:w="0" w:type="auto"/>
            <w:tcBorders>
              <w:bottom w:val="single" w:sz="4" w:space="0" w:color="auto"/>
            </w:tcBorders>
            <w:shd w:val="clear" w:color="auto" w:fill="FFFFFF" w:themeFill="background1"/>
            <w:vAlign w:val="center"/>
          </w:tcPr>
          <w:p w14:paraId="2465DAAD"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1.12</w:t>
            </w:r>
          </w:p>
        </w:tc>
        <w:tc>
          <w:tcPr>
            <w:tcW w:w="0" w:type="auto"/>
            <w:tcBorders>
              <w:bottom w:val="single" w:sz="4" w:space="0" w:color="auto"/>
            </w:tcBorders>
            <w:shd w:val="clear" w:color="auto" w:fill="FFFFFF" w:themeFill="background1"/>
            <w:vAlign w:val="center"/>
          </w:tcPr>
          <w:p w14:paraId="7282D6F7"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0.59</w:t>
            </w:r>
          </w:p>
        </w:tc>
        <w:tc>
          <w:tcPr>
            <w:tcW w:w="0" w:type="auto"/>
            <w:tcBorders>
              <w:bottom w:val="single" w:sz="4" w:space="0" w:color="auto"/>
            </w:tcBorders>
            <w:shd w:val="clear" w:color="auto" w:fill="FFFFFF" w:themeFill="background1"/>
            <w:vAlign w:val="center"/>
          </w:tcPr>
          <w:p w14:paraId="207DC3CF"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0.33</w:t>
            </w:r>
          </w:p>
        </w:tc>
      </w:tr>
      <w:tr w:rsidR="007561F6" w:rsidRPr="005E2F3B" w14:paraId="72618807" w14:textId="77777777" w:rsidTr="00CF12B5">
        <w:trPr>
          <w:cantSplit/>
          <w:trHeight w:val="20"/>
        </w:trPr>
        <w:tc>
          <w:tcPr>
            <w:tcW w:w="0" w:type="auto"/>
            <w:tcBorders>
              <w:top w:val="single" w:sz="4" w:space="0" w:color="auto"/>
            </w:tcBorders>
            <w:shd w:val="clear" w:color="auto" w:fill="FFFFFF" w:themeFill="background1"/>
            <w:noWrap/>
            <w:vAlign w:val="center"/>
            <w:hideMark/>
          </w:tcPr>
          <w:p w14:paraId="5D3617CD"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Middle third</w:t>
            </w:r>
          </w:p>
        </w:tc>
        <w:tc>
          <w:tcPr>
            <w:tcW w:w="0" w:type="auto"/>
            <w:tcBorders>
              <w:top w:val="single" w:sz="4" w:space="0" w:color="auto"/>
            </w:tcBorders>
            <w:shd w:val="clear" w:color="auto" w:fill="FFFFFF" w:themeFill="background1"/>
            <w:noWrap/>
            <w:vAlign w:val="center"/>
            <w:hideMark/>
          </w:tcPr>
          <w:p w14:paraId="7F3C097B"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16.6</w:t>
            </w:r>
          </w:p>
        </w:tc>
        <w:tc>
          <w:tcPr>
            <w:tcW w:w="0" w:type="auto"/>
            <w:tcBorders>
              <w:top w:val="single" w:sz="4" w:space="0" w:color="auto"/>
            </w:tcBorders>
            <w:shd w:val="clear" w:color="auto" w:fill="FFFFFF" w:themeFill="background1"/>
            <w:noWrap/>
            <w:vAlign w:val="center"/>
            <w:hideMark/>
          </w:tcPr>
          <w:p w14:paraId="3D44B71C"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20.6</w:t>
            </w:r>
          </w:p>
        </w:tc>
        <w:tc>
          <w:tcPr>
            <w:tcW w:w="0" w:type="auto"/>
            <w:tcBorders>
              <w:top w:val="single" w:sz="4" w:space="0" w:color="auto"/>
            </w:tcBorders>
            <w:shd w:val="clear" w:color="auto" w:fill="FFFFFF" w:themeFill="background1"/>
            <w:noWrap/>
            <w:vAlign w:val="center"/>
            <w:hideMark/>
          </w:tcPr>
          <w:p w14:paraId="103177BB"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22.98</w:t>
            </w:r>
          </w:p>
        </w:tc>
        <w:tc>
          <w:tcPr>
            <w:tcW w:w="0" w:type="auto"/>
            <w:tcBorders>
              <w:top w:val="single" w:sz="4" w:space="0" w:color="auto"/>
            </w:tcBorders>
            <w:shd w:val="clear" w:color="auto" w:fill="FFFFFF" w:themeFill="background1"/>
            <w:vAlign w:val="center"/>
          </w:tcPr>
          <w:p w14:paraId="54CAEA25"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13.71</w:t>
            </w:r>
          </w:p>
        </w:tc>
        <w:tc>
          <w:tcPr>
            <w:tcW w:w="0" w:type="auto"/>
            <w:tcBorders>
              <w:top w:val="single" w:sz="4" w:space="0" w:color="auto"/>
            </w:tcBorders>
            <w:shd w:val="clear" w:color="auto" w:fill="FFFFFF" w:themeFill="background1"/>
            <w:vAlign w:val="center"/>
          </w:tcPr>
          <w:p w14:paraId="0785638A"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15.79</w:t>
            </w:r>
          </w:p>
        </w:tc>
        <w:tc>
          <w:tcPr>
            <w:tcW w:w="0" w:type="auto"/>
            <w:tcBorders>
              <w:top w:val="single" w:sz="4" w:space="0" w:color="auto"/>
            </w:tcBorders>
            <w:shd w:val="clear" w:color="auto" w:fill="FFFFFF" w:themeFill="background1"/>
            <w:vAlign w:val="center"/>
          </w:tcPr>
          <w:p w14:paraId="23484D4C"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16.07</w:t>
            </w:r>
          </w:p>
        </w:tc>
        <w:tc>
          <w:tcPr>
            <w:tcW w:w="0" w:type="auto"/>
            <w:tcBorders>
              <w:top w:val="single" w:sz="4" w:space="0" w:color="auto"/>
            </w:tcBorders>
            <w:shd w:val="clear" w:color="auto" w:fill="FFFFFF" w:themeFill="background1"/>
            <w:vAlign w:val="center"/>
          </w:tcPr>
          <w:p w14:paraId="27CA1DE0"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11.53</w:t>
            </w:r>
          </w:p>
        </w:tc>
        <w:tc>
          <w:tcPr>
            <w:tcW w:w="0" w:type="auto"/>
            <w:tcBorders>
              <w:top w:val="single" w:sz="4" w:space="0" w:color="auto"/>
            </w:tcBorders>
            <w:shd w:val="clear" w:color="auto" w:fill="FFFFFF" w:themeFill="background1"/>
            <w:vAlign w:val="center"/>
          </w:tcPr>
          <w:p w14:paraId="0FE8D5DF"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14.33</w:t>
            </w:r>
          </w:p>
        </w:tc>
      </w:tr>
      <w:tr w:rsidR="007561F6" w:rsidRPr="005E2F3B" w14:paraId="58064603" w14:textId="77777777" w:rsidTr="00CF12B5">
        <w:trPr>
          <w:cantSplit/>
          <w:trHeight w:val="20"/>
        </w:trPr>
        <w:tc>
          <w:tcPr>
            <w:tcW w:w="0" w:type="auto"/>
            <w:shd w:val="clear" w:color="auto" w:fill="FFFFFF" w:themeFill="background1"/>
            <w:noWrap/>
            <w:vAlign w:val="center"/>
            <w:hideMark/>
          </w:tcPr>
          <w:p w14:paraId="22AC6157"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4A1F168E"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16.52</w:t>
            </w:r>
          </w:p>
        </w:tc>
        <w:tc>
          <w:tcPr>
            <w:tcW w:w="0" w:type="auto"/>
            <w:shd w:val="clear" w:color="auto" w:fill="FFFFFF" w:themeFill="background1"/>
            <w:noWrap/>
            <w:vAlign w:val="center"/>
            <w:hideMark/>
          </w:tcPr>
          <w:p w14:paraId="25B11829"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21.45</w:t>
            </w:r>
          </w:p>
        </w:tc>
        <w:tc>
          <w:tcPr>
            <w:tcW w:w="0" w:type="auto"/>
            <w:shd w:val="clear" w:color="auto" w:fill="FFFFFF" w:themeFill="background1"/>
            <w:noWrap/>
            <w:vAlign w:val="center"/>
            <w:hideMark/>
          </w:tcPr>
          <w:p w14:paraId="15F896D1"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25.65</w:t>
            </w:r>
          </w:p>
        </w:tc>
        <w:tc>
          <w:tcPr>
            <w:tcW w:w="0" w:type="auto"/>
            <w:shd w:val="clear" w:color="auto" w:fill="FFFFFF" w:themeFill="background1"/>
            <w:vAlign w:val="center"/>
          </w:tcPr>
          <w:p w14:paraId="7CBE930F"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14.82</w:t>
            </w:r>
          </w:p>
        </w:tc>
        <w:tc>
          <w:tcPr>
            <w:tcW w:w="0" w:type="auto"/>
            <w:shd w:val="clear" w:color="auto" w:fill="FFFFFF" w:themeFill="background1"/>
            <w:vAlign w:val="center"/>
          </w:tcPr>
          <w:p w14:paraId="361C9D10"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15.57</w:t>
            </w:r>
          </w:p>
        </w:tc>
        <w:tc>
          <w:tcPr>
            <w:tcW w:w="0" w:type="auto"/>
            <w:shd w:val="clear" w:color="auto" w:fill="FFFFFF" w:themeFill="background1"/>
            <w:vAlign w:val="center"/>
          </w:tcPr>
          <w:p w14:paraId="02C236F9"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17.68</w:t>
            </w:r>
          </w:p>
        </w:tc>
        <w:tc>
          <w:tcPr>
            <w:tcW w:w="0" w:type="auto"/>
            <w:shd w:val="clear" w:color="auto" w:fill="FFFFFF" w:themeFill="background1"/>
            <w:vAlign w:val="center"/>
          </w:tcPr>
          <w:p w14:paraId="6FC39EDC"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11.17</w:t>
            </w:r>
          </w:p>
        </w:tc>
        <w:tc>
          <w:tcPr>
            <w:tcW w:w="0" w:type="auto"/>
            <w:shd w:val="clear" w:color="auto" w:fill="FFFFFF" w:themeFill="background1"/>
            <w:vAlign w:val="center"/>
          </w:tcPr>
          <w:p w14:paraId="3EB244CD"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14.02</w:t>
            </w:r>
          </w:p>
        </w:tc>
      </w:tr>
      <w:tr w:rsidR="007561F6" w:rsidRPr="005E2F3B" w14:paraId="41F2FDD4" w14:textId="77777777" w:rsidTr="00CF12B5">
        <w:trPr>
          <w:cantSplit/>
          <w:trHeight w:val="20"/>
        </w:trPr>
        <w:tc>
          <w:tcPr>
            <w:tcW w:w="0" w:type="auto"/>
            <w:shd w:val="clear" w:color="auto" w:fill="FFFFFF" w:themeFill="background1"/>
            <w:noWrap/>
            <w:vAlign w:val="center"/>
            <w:hideMark/>
          </w:tcPr>
          <w:p w14:paraId="03B8BD41"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61412A1F"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17.5</w:t>
            </w:r>
          </w:p>
        </w:tc>
        <w:tc>
          <w:tcPr>
            <w:tcW w:w="0" w:type="auto"/>
            <w:shd w:val="clear" w:color="auto" w:fill="FFFFFF" w:themeFill="background1"/>
            <w:noWrap/>
            <w:vAlign w:val="center"/>
            <w:hideMark/>
          </w:tcPr>
          <w:p w14:paraId="1BF9DA5B"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23.43</w:t>
            </w:r>
          </w:p>
        </w:tc>
        <w:tc>
          <w:tcPr>
            <w:tcW w:w="0" w:type="auto"/>
            <w:shd w:val="clear" w:color="auto" w:fill="FFFFFF" w:themeFill="background1"/>
            <w:noWrap/>
            <w:vAlign w:val="center"/>
            <w:hideMark/>
          </w:tcPr>
          <w:p w14:paraId="5B3A8888"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24.07</w:t>
            </w:r>
          </w:p>
        </w:tc>
        <w:tc>
          <w:tcPr>
            <w:tcW w:w="0" w:type="auto"/>
            <w:shd w:val="clear" w:color="auto" w:fill="FFFFFF" w:themeFill="background1"/>
            <w:vAlign w:val="center"/>
          </w:tcPr>
          <w:p w14:paraId="6F94C170"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15.5</w:t>
            </w:r>
          </w:p>
        </w:tc>
        <w:tc>
          <w:tcPr>
            <w:tcW w:w="0" w:type="auto"/>
            <w:shd w:val="clear" w:color="auto" w:fill="FFFFFF" w:themeFill="background1"/>
            <w:vAlign w:val="center"/>
          </w:tcPr>
          <w:p w14:paraId="38CDE571"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15.1</w:t>
            </w:r>
          </w:p>
        </w:tc>
        <w:tc>
          <w:tcPr>
            <w:tcW w:w="0" w:type="auto"/>
            <w:shd w:val="clear" w:color="auto" w:fill="FFFFFF" w:themeFill="background1"/>
            <w:vAlign w:val="center"/>
          </w:tcPr>
          <w:p w14:paraId="4DE7EE5A"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18.22</w:t>
            </w:r>
          </w:p>
        </w:tc>
        <w:tc>
          <w:tcPr>
            <w:tcW w:w="0" w:type="auto"/>
            <w:shd w:val="clear" w:color="auto" w:fill="FFFFFF" w:themeFill="background1"/>
            <w:vAlign w:val="center"/>
          </w:tcPr>
          <w:p w14:paraId="55AFC56A"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11.35</w:t>
            </w:r>
          </w:p>
        </w:tc>
        <w:tc>
          <w:tcPr>
            <w:tcW w:w="0" w:type="auto"/>
            <w:shd w:val="clear" w:color="auto" w:fill="FFFFFF" w:themeFill="background1"/>
            <w:vAlign w:val="center"/>
          </w:tcPr>
          <w:p w14:paraId="533561BA"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14.88</w:t>
            </w:r>
          </w:p>
        </w:tc>
      </w:tr>
      <w:tr w:rsidR="007561F6" w:rsidRPr="005E2F3B" w14:paraId="0F637284" w14:textId="77777777" w:rsidTr="00CF12B5">
        <w:trPr>
          <w:cantSplit/>
          <w:trHeight w:val="20"/>
        </w:trPr>
        <w:tc>
          <w:tcPr>
            <w:tcW w:w="0" w:type="auto"/>
            <w:shd w:val="clear" w:color="auto" w:fill="FFFFFF" w:themeFill="background1"/>
            <w:noWrap/>
            <w:vAlign w:val="center"/>
            <w:hideMark/>
          </w:tcPr>
          <w:p w14:paraId="22007F04"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08157D7F"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15.47</w:t>
            </w:r>
          </w:p>
        </w:tc>
        <w:tc>
          <w:tcPr>
            <w:tcW w:w="0" w:type="auto"/>
            <w:shd w:val="clear" w:color="auto" w:fill="FFFFFF" w:themeFill="background1"/>
            <w:noWrap/>
            <w:vAlign w:val="center"/>
            <w:hideMark/>
          </w:tcPr>
          <w:p w14:paraId="3B7C17BA"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20.62</w:t>
            </w:r>
          </w:p>
        </w:tc>
        <w:tc>
          <w:tcPr>
            <w:tcW w:w="0" w:type="auto"/>
            <w:shd w:val="clear" w:color="auto" w:fill="FFFFFF" w:themeFill="background1"/>
            <w:noWrap/>
            <w:vAlign w:val="center"/>
            <w:hideMark/>
          </w:tcPr>
          <w:p w14:paraId="22A702F4"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23.85</w:t>
            </w:r>
          </w:p>
        </w:tc>
        <w:tc>
          <w:tcPr>
            <w:tcW w:w="0" w:type="auto"/>
            <w:shd w:val="clear" w:color="auto" w:fill="FFFFFF" w:themeFill="background1"/>
            <w:vAlign w:val="center"/>
          </w:tcPr>
          <w:p w14:paraId="7C290FF2"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13.96</w:t>
            </w:r>
          </w:p>
        </w:tc>
        <w:tc>
          <w:tcPr>
            <w:tcW w:w="0" w:type="auto"/>
            <w:shd w:val="clear" w:color="auto" w:fill="FFFFFF" w:themeFill="background1"/>
            <w:vAlign w:val="center"/>
          </w:tcPr>
          <w:p w14:paraId="4E55B7CA"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14.47</w:t>
            </w:r>
          </w:p>
        </w:tc>
        <w:tc>
          <w:tcPr>
            <w:tcW w:w="0" w:type="auto"/>
            <w:shd w:val="clear" w:color="auto" w:fill="FFFFFF" w:themeFill="background1"/>
            <w:vAlign w:val="center"/>
          </w:tcPr>
          <w:p w14:paraId="4978AA68"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18.96</w:t>
            </w:r>
          </w:p>
        </w:tc>
        <w:tc>
          <w:tcPr>
            <w:tcW w:w="0" w:type="auto"/>
            <w:shd w:val="clear" w:color="auto" w:fill="FFFFFF" w:themeFill="background1"/>
            <w:vAlign w:val="center"/>
          </w:tcPr>
          <w:p w14:paraId="352E3272"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11.68</w:t>
            </w:r>
          </w:p>
        </w:tc>
        <w:tc>
          <w:tcPr>
            <w:tcW w:w="0" w:type="auto"/>
            <w:shd w:val="clear" w:color="auto" w:fill="FFFFFF" w:themeFill="background1"/>
            <w:vAlign w:val="center"/>
          </w:tcPr>
          <w:p w14:paraId="48521103"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15.01</w:t>
            </w:r>
          </w:p>
        </w:tc>
      </w:tr>
      <w:tr w:rsidR="007561F6" w:rsidRPr="005E2F3B" w14:paraId="7C0A6F73" w14:textId="77777777" w:rsidTr="00CF12B5">
        <w:trPr>
          <w:cantSplit/>
          <w:trHeight w:val="20"/>
        </w:trPr>
        <w:tc>
          <w:tcPr>
            <w:tcW w:w="0" w:type="auto"/>
            <w:shd w:val="clear" w:color="auto" w:fill="FFFFFF" w:themeFill="background1"/>
            <w:noWrap/>
            <w:vAlign w:val="center"/>
            <w:hideMark/>
          </w:tcPr>
          <w:p w14:paraId="752CDDEF"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554B0B90"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15.69</w:t>
            </w:r>
          </w:p>
        </w:tc>
        <w:tc>
          <w:tcPr>
            <w:tcW w:w="0" w:type="auto"/>
            <w:shd w:val="clear" w:color="auto" w:fill="FFFFFF" w:themeFill="background1"/>
            <w:noWrap/>
            <w:vAlign w:val="center"/>
            <w:hideMark/>
          </w:tcPr>
          <w:p w14:paraId="3B078953"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21.86</w:t>
            </w:r>
          </w:p>
        </w:tc>
        <w:tc>
          <w:tcPr>
            <w:tcW w:w="0" w:type="auto"/>
            <w:shd w:val="clear" w:color="auto" w:fill="FFFFFF" w:themeFill="background1"/>
            <w:noWrap/>
            <w:vAlign w:val="center"/>
            <w:hideMark/>
          </w:tcPr>
          <w:p w14:paraId="2B2C1237"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24.42</w:t>
            </w:r>
          </w:p>
        </w:tc>
        <w:tc>
          <w:tcPr>
            <w:tcW w:w="0" w:type="auto"/>
            <w:shd w:val="clear" w:color="auto" w:fill="FFFFFF" w:themeFill="background1"/>
            <w:vAlign w:val="center"/>
          </w:tcPr>
          <w:p w14:paraId="54C39262"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14.55</w:t>
            </w:r>
          </w:p>
        </w:tc>
        <w:tc>
          <w:tcPr>
            <w:tcW w:w="0" w:type="auto"/>
            <w:shd w:val="clear" w:color="auto" w:fill="FFFFFF" w:themeFill="background1"/>
            <w:vAlign w:val="center"/>
          </w:tcPr>
          <w:p w14:paraId="6DD3A199"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14.43</w:t>
            </w:r>
          </w:p>
        </w:tc>
        <w:tc>
          <w:tcPr>
            <w:tcW w:w="0" w:type="auto"/>
            <w:shd w:val="clear" w:color="auto" w:fill="FFFFFF" w:themeFill="background1"/>
            <w:vAlign w:val="center"/>
          </w:tcPr>
          <w:p w14:paraId="6AEB6F47"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18.21</w:t>
            </w:r>
          </w:p>
        </w:tc>
        <w:tc>
          <w:tcPr>
            <w:tcW w:w="0" w:type="auto"/>
            <w:shd w:val="clear" w:color="auto" w:fill="FFFFFF" w:themeFill="background1"/>
            <w:vAlign w:val="center"/>
          </w:tcPr>
          <w:p w14:paraId="6518EB01"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9.87</w:t>
            </w:r>
          </w:p>
        </w:tc>
        <w:tc>
          <w:tcPr>
            <w:tcW w:w="0" w:type="auto"/>
            <w:shd w:val="clear" w:color="auto" w:fill="FFFFFF" w:themeFill="background1"/>
            <w:vAlign w:val="center"/>
          </w:tcPr>
          <w:p w14:paraId="07FC7B14"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15.36</w:t>
            </w:r>
          </w:p>
        </w:tc>
      </w:tr>
      <w:tr w:rsidR="007561F6" w:rsidRPr="005E2F3B" w14:paraId="10912190" w14:textId="77777777" w:rsidTr="00CF12B5">
        <w:trPr>
          <w:cantSplit/>
          <w:trHeight w:val="20"/>
        </w:trPr>
        <w:tc>
          <w:tcPr>
            <w:tcW w:w="0" w:type="auto"/>
            <w:shd w:val="clear" w:color="auto" w:fill="FFFFFF" w:themeFill="background1"/>
            <w:noWrap/>
            <w:vAlign w:val="center"/>
            <w:hideMark/>
          </w:tcPr>
          <w:p w14:paraId="37629008" w14:textId="77777777" w:rsidR="007561F6" w:rsidRPr="005E2F3B" w:rsidRDefault="007561F6" w:rsidP="007561F6">
            <w:pPr>
              <w:spacing w:line="240" w:lineRule="auto"/>
              <w:jc w:val="center"/>
              <w:rPr>
                <w:rFonts w:eastAsia="Times New Roman" w:cs="Times New Roman"/>
                <w:bCs/>
                <w:color w:val="000000"/>
                <w:szCs w:val="24"/>
              </w:rPr>
            </w:pPr>
            <w:r w:rsidRPr="005E2F3B">
              <w:rPr>
                <w:rFonts w:eastAsia="Times New Roman" w:cs="Times New Roman"/>
                <w:bCs/>
                <w:color w:val="000000"/>
                <w:szCs w:val="24"/>
              </w:rPr>
              <w:t>Mean</w:t>
            </w:r>
          </w:p>
        </w:tc>
        <w:tc>
          <w:tcPr>
            <w:tcW w:w="0" w:type="auto"/>
            <w:shd w:val="clear" w:color="auto" w:fill="FFFFFF" w:themeFill="background1"/>
            <w:noWrap/>
            <w:vAlign w:val="center"/>
            <w:hideMark/>
          </w:tcPr>
          <w:p w14:paraId="5B3C431E" w14:textId="77777777" w:rsidR="007561F6" w:rsidRPr="00F87515" w:rsidRDefault="007561F6" w:rsidP="007561F6">
            <w:pPr>
              <w:spacing w:line="240" w:lineRule="auto"/>
              <w:jc w:val="center"/>
              <w:rPr>
                <w:rFonts w:eastAsia="Times New Roman" w:cs="Times New Roman"/>
                <w:bCs/>
                <w:i/>
                <w:iCs/>
                <w:color w:val="000000"/>
                <w:szCs w:val="24"/>
              </w:rPr>
            </w:pPr>
            <w:r w:rsidRPr="00F87515">
              <w:rPr>
                <w:rFonts w:eastAsia="Times New Roman" w:cs="Times New Roman"/>
                <w:bCs/>
                <w:i/>
                <w:iCs/>
                <w:color w:val="000000"/>
                <w:szCs w:val="24"/>
              </w:rPr>
              <w:t>16.36</w:t>
            </w:r>
          </w:p>
        </w:tc>
        <w:tc>
          <w:tcPr>
            <w:tcW w:w="0" w:type="auto"/>
            <w:shd w:val="clear" w:color="auto" w:fill="FFFFFF" w:themeFill="background1"/>
            <w:noWrap/>
            <w:vAlign w:val="center"/>
            <w:hideMark/>
          </w:tcPr>
          <w:p w14:paraId="31E7C94A" w14:textId="77777777" w:rsidR="007561F6" w:rsidRPr="00F87515" w:rsidRDefault="007561F6" w:rsidP="007561F6">
            <w:pPr>
              <w:spacing w:line="240" w:lineRule="auto"/>
              <w:jc w:val="center"/>
              <w:rPr>
                <w:rFonts w:eastAsia="Times New Roman" w:cs="Times New Roman"/>
                <w:bCs/>
                <w:i/>
                <w:iCs/>
                <w:color w:val="000000"/>
                <w:szCs w:val="24"/>
              </w:rPr>
            </w:pPr>
            <w:r w:rsidRPr="00F87515">
              <w:rPr>
                <w:rFonts w:eastAsia="Times New Roman" w:cs="Times New Roman"/>
                <w:bCs/>
                <w:i/>
                <w:iCs/>
                <w:color w:val="000000"/>
                <w:szCs w:val="24"/>
              </w:rPr>
              <w:t>21.59</w:t>
            </w:r>
          </w:p>
        </w:tc>
        <w:tc>
          <w:tcPr>
            <w:tcW w:w="0" w:type="auto"/>
            <w:shd w:val="clear" w:color="auto" w:fill="FFFFFF" w:themeFill="background1"/>
            <w:noWrap/>
            <w:vAlign w:val="center"/>
            <w:hideMark/>
          </w:tcPr>
          <w:p w14:paraId="2421EB3C" w14:textId="77777777" w:rsidR="007561F6" w:rsidRPr="00F87515" w:rsidRDefault="007561F6" w:rsidP="007561F6">
            <w:pPr>
              <w:spacing w:line="240" w:lineRule="auto"/>
              <w:jc w:val="center"/>
              <w:rPr>
                <w:rFonts w:eastAsia="Times New Roman" w:cs="Times New Roman"/>
                <w:bCs/>
                <w:i/>
                <w:iCs/>
                <w:color w:val="000000"/>
                <w:szCs w:val="24"/>
              </w:rPr>
            </w:pPr>
            <w:r w:rsidRPr="00F87515">
              <w:rPr>
                <w:rFonts w:eastAsia="Times New Roman" w:cs="Times New Roman"/>
                <w:bCs/>
                <w:i/>
                <w:iCs/>
                <w:color w:val="000000"/>
                <w:szCs w:val="24"/>
              </w:rPr>
              <w:t>24.19</w:t>
            </w:r>
          </w:p>
        </w:tc>
        <w:tc>
          <w:tcPr>
            <w:tcW w:w="0" w:type="auto"/>
            <w:shd w:val="clear" w:color="auto" w:fill="FFFFFF" w:themeFill="background1"/>
            <w:vAlign w:val="center"/>
          </w:tcPr>
          <w:p w14:paraId="444A1DFC"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14.51</w:t>
            </w:r>
          </w:p>
        </w:tc>
        <w:tc>
          <w:tcPr>
            <w:tcW w:w="0" w:type="auto"/>
            <w:shd w:val="clear" w:color="auto" w:fill="FFFFFF" w:themeFill="background1"/>
            <w:vAlign w:val="center"/>
          </w:tcPr>
          <w:p w14:paraId="6A6D276F"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15.07</w:t>
            </w:r>
          </w:p>
        </w:tc>
        <w:tc>
          <w:tcPr>
            <w:tcW w:w="0" w:type="auto"/>
            <w:shd w:val="clear" w:color="auto" w:fill="FFFFFF" w:themeFill="background1"/>
            <w:vAlign w:val="center"/>
          </w:tcPr>
          <w:p w14:paraId="788EB3D3"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17.83</w:t>
            </w:r>
          </w:p>
        </w:tc>
        <w:tc>
          <w:tcPr>
            <w:tcW w:w="0" w:type="auto"/>
            <w:shd w:val="clear" w:color="auto" w:fill="FFFFFF" w:themeFill="background1"/>
            <w:vAlign w:val="center"/>
          </w:tcPr>
          <w:p w14:paraId="15959214"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11.12</w:t>
            </w:r>
          </w:p>
        </w:tc>
        <w:tc>
          <w:tcPr>
            <w:tcW w:w="0" w:type="auto"/>
            <w:shd w:val="clear" w:color="auto" w:fill="FFFFFF" w:themeFill="background1"/>
            <w:vAlign w:val="center"/>
          </w:tcPr>
          <w:p w14:paraId="2611B673"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14.72</w:t>
            </w:r>
          </w:p>
        </w:tc>
      </w:tr>
      <w:tr w:rsidR="007561F6" w:rsidRPr="005E2F3B" w14:paraId="3D762BF9" w14:textId="77777777" w:rsidTr="00CF12B5">
        <w:trPr>
          <w:cantSplit/>
          <w:trHeight w:val="20"/>
        </w:trPr>
        <w:tc>
          <w:tcPr>
            <w:tcW w:w="0" w:type="auto"/>
            <w:tcBorders>
              <w:bottom w:val="single" w:sz="4" w:space="0" w:color="auto"/>
            </w:tcBorders>
            <w:shd w:val="clear" w:color="auto" w:fill="FFFFFF" w:themeFill="background1"/>
            <w:noWrap/>
            <w:vAlign w:val="center"/>
            <w:hideMark/>
          </w:tcPr>
          <w:p w14:paraId="2AC1453D"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SD</w:t>
            </w:r>
          </w:p>
        </w:tc>
        <w:tc>
          <w:tcPr>
            <w:tcW w:w="0" w:type="auto"/>
            <w:tcBorders>
              <w:bottom w:val="single" w:sz="4" w:space="0" w:color="auto"/>
            </w:tcBorders>
            <w:shd w:val="clear" w:color="auto" w:fill="FFFFFF" w:themeFill="background1"/>
            <w:noWrap/>
            <w:vAlign w:val="center"/>
            <w:hideMark/>
          </w:tcPr>
          <w:p w14:paraId="538A0A47" w14:textId="77777777" w:rsidR="007561F6" w:rsidRPr="00F87515" w:rsidRDefault="007561F6" w:rsidP="007561F6">
            <w:pPr>
              <w:spacing w:line="240" w:lineRule="auto"/>
              <w:jc w:val="center"/>
              <w:rPr>
                <w:rFonts w:eastAsia="Times New Roman" w:cs="Times New Roman"/>
                <w:i/>
                <w:iCs/>
                <w:color w:val="000000"/>
                <w:szCs w:val="24"/>
              </w:rPr>
            </w:pPr>
            <w:r w:rsidRPr="00F87515">
              <w:rPr>
                <w:rFonts w:eastAsia="Times New Roman" w:cs="Times New Roman"/>
                <w:i/>
                <w:iCs/>
                <w:color w:val="000000"/>
                <w:szCs w:val="24"/>
              </w:rPr>
              <w:t>0.81</w:t>
            </w:r>
          </w:p>
        </w:tc>
        <w:tc>
          <w:tcPr>
            <w:tcW w:w="0" w:type="auto"/>
            <w:tcBorders>
              <w:bottom w:val="single" w:sz="4" w:space="0" w:color="auto"/>
            </w:tcBorders>
            <w:shd w:val="clear" w:color="auto" w:fill="FFFFFF" w:themeFill="background1"/>
            <w:noWrap/>
            <w:vAlign w:val="center"/>
            <w:hideMark/>
          </w:tcPr>
          <w:p w14:paraId="71B92CD1" w14:textId="77777777" w:rsidR="007561F6" w:rsidRPr="00F87515" w:rsidRDefault="007561F6" w:rsidP="007561F6">
            <w:pPr>
              <w:spacing w:line="240" w:lineRule="auto"/>
              <w:jc w:val="center"/>
              <w:rPr>
                <w:rFonts w:eastAsia="Times New Roman" w:cs="Times New Roman"/>
                <w:i/>
                <w:iCs/>
                <w:color w:val="000000"/>
                <w:szCs w:val="24"/>
              </w:rPr>
            </w:pPr>
            <w:r w:rsidRPr="00F87515">
              <w:rPr>
                <w:rFonts w:eastAsia="Times New Roman" w:cs="Times New Roman"/>
                <w:i/>
                <w:iCs/>
                <w:color w:val="000000"/>
                <w:szCs w:val="24"/>
              </w:rPr>
              <w:t>1.16</w:t>
            </w:r>
          </w:p>
        </w:tc>
        <w:tc>
          <w:tcPr>
            <w:tcW w:w="0" w:type="auto"/>
            <w:tcBorders>
              <w:bottom w:val="single" w:sz="4" w:space="0" w:color="auto"/>
            </w:tcBorders>
            <w:shd w:val="clear" w:color="auto" w:fill="FFFFFF" w:themeFill="background1"/>
            <w:noWrap/>
            <w:vAlign w:val="center"/>
            <w:hideMark/>
          </w:tcPr>
          <w:p w14:paraId="67F944C3" w14:textId="77777777" w:rsidR="007561F6" w:rsidRPr="00F87515" w:rsidRDefault="007561F6" w:rsidP="007561F6">
            <w:pPr>
              <w:spacing w:line="240" w:lineRule="auto"/>
              <w:jc w:val="center"/>
              <w:rPr>
                <w:rFonts w:eastAsia="Times New Roman" w:cs="Times New Roman"/>
                <w:i/>
                <w:iCs/>
                <w:color w:val="000000"/>
                <w:szCs w:val="24"/>
              </w:rPr>
            </w:pPr>
            <w:r w:rsidRPr="00F87515">
              <w:rPr>
                <w:rFonts w:eastAsia="Times New Roman" w:cs="Times New Roman"/>
                <w:i/>
                <w:iCs/>
                <w:color w:val="000000"/>
                <w:szCs w:val="24"/>
              </w:rPr>
              <w:t>0.97</w:t>
            </w:r>
          </w:p>
        </w:tc>
        <w:tc>
          <w:tcPr>
            <w:tcW w:w="0" w:type="auto"/>
            <w:tcBorders>
              <w:bottom w:val="single" w:sz="4" w:space="0" w:color="auto"/>
            </w:tcBorders>
            <w:shd w:val="clear" w:color="auto" w:fill="FFFFFF" w:themeFill="background1"/>
            <w:vAlign w:val="center"/>
          </w:tcPr>
          <w:p w14:paraId="60CFC9F9"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0.71</w:t>
            </w:r>
          </w:p>
        </w:tc>
        <w:tc>
          <w:tcPr>
            <w:tcW w:w="0" w:type="auto"/>
            <w:tcBorders>
              <w:bottom w:val="single" w:sz="4" w:space="0" w:color="auto"/>
            </w:tcBorders>
            <w:shd w:val="clear" w:color="auto" w:fill="FFFFFF" w:themeFill="background1"/>
            <w:vAlign w:val="center"/>
          </w:tcPr>
          <w:p w14:paraId="1E844D32"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0.62</w:t>
            </w:r>
          </w:p>
        </w:tc>
        <w:tc>
          <w:tcPr>
            <w:tcW w:w="0" w:type="auto"/>
            <w:tcBorders>
              <w:bottom w:val="single" w:sz="4" w:space="0" w:color="auto"/>
            </w:tcBorders>
            <w:shd w:val="clear" w:color="auto" w:fill="FFFFFF" w:themeFill="background1"/>
            <w:vAlign w:val="center"/>
          </w:tcPr>
          <w:p w14:paraId="549234AE"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1.08</w:t>
            </w:r>
          </w:p>
        </w:tc>
        <w:tc>
          <w:tcPr>
            <w:tcW w:w="0" w:type="auto"/>
            <w:tcBorders>
              <w:bottom w:val="single" w:sz="4" w:space="0" w:color="auto"/>
            </w:tcBorders>
            <w:shd w:val="clear" w:color="auto" w:fill="FFFFFF" w:themeFill="background1"/>
            <w:vAlign w:val="center"/>
          </w:tcPr>
          <w:p w14:paraId="07FBD5ED"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0.72</w:t>
            </w:r>
          </w:p>
        </w:tc>
        <w:tc>
          <w:tcPr>
            <w:tcW w:w="0" w:type="auto"/>
            <w:tcBorders>
              <w:bottom w:val="single" w:sz="4" w:space="0" w:color="auto"/>
            </w:tcBorders>
            <w:shd w:val="clear" w:color="auto" w:fill="FFFFFF" w:themeFill="background1"/>
            <w:vAlign w:val="center"/>
          </w:tcPr>
          <w:p w14:paraId="634A88FD"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0.54</w:t>
            </w:r>
          </w:p>
        </w:tc>
      </w:tr>
      <w:tr w:rsidR="007561F6" w:rsidRPr="005E2F3B" w14:paraId="721CF1C8" w14:textId="77777777" w:rsidTr="00CF12B5">
        <w:trPr>
          <w:cantSplit/>
          <w:trHeight w:val="20"/>
        </w:trPr>
        <w:tc>
          <w:tcPr>
            <w:tcW w:w="0" w:type="auto"/>
            <w:tcBorders>
              <w:top w:val="single" w:sz="4" w:space="0" w:color="auto"/>
            </w:tcBorders>
            <w:shd w:val="clear" w:color="auto" w:fill="FFFFFF" w:themeFill="background1"/>
            <w:noWrap/>
            <w:vAlign w:val="center"/>
            <w:hideMark/>
          </w:tcPr>
          <w:p w14:paraId="3C549A5D"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Lower third</w:t>
            </w:r>
          </w:p>
        </w:tc>
        <w:tc>
          <w:tcPr>
            <w:tcW w:w="0" w:type="auto"/>
            <w:tcBorders>
              <w:top w:val="single" w:sz="4" w:space="0" w:color="auto"/>
            </w:tcBorders>
            <w:shd w:val="clear" w:color="auto" w:fill="FFFFFF" w:themeFill="background1"/>
            <w:noWrap/>
            <w:vAlign w:val="center"/>
            <w:hideMark/>
          </w:tcPr>
          <w:p w14:paraId="14B2A932"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16.99</w:t>
            </w:r>
          </w:p>
        </w:tc>
        <w:tc>
          <w:tcPr>
            <w:tcW w:w="0" w:type="auto"/>
            <w:tcBorders>
              <w:top w:val="single" w:sz="4" w:space="0" w:color="auto"/>
            </w:tcBorders>
            <w:shd w:val="clear" w:color="auto" w:fill="FFFFFF" w:themeFill="background1"/>
            <w:noWrap/>
            <w:vAlign w:val="center"/>
            <w:hideMark/>
          </w:tcPr>
          <w:p w14:paraId="25119A9D"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19.01</w:t>
            </w:r>
          </w:p>
        </w:tc>
        <w:tc>
          <w:tcPr>
            <w:tcW w:w="0" w:type="auto"/>
            <w:tcBorders>
              <w:top w:val="single" w:sz="4" w:space="0" w:color="auto"/>
            </w:tcBorders>
            <w:shd w:val="clear" w:color="auto" w:fill="FFFFFF" w:themeFill="background1"/>
            <w:noWrap/>
            <w:vAlign w:val="center"/>
            <w:hideMark/>
          </w:tcPr>
          <w:p w14:paraId="2F653C66"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26.93</w:t>
            </w:r>
          </w:p>
        </w:tc>
        <w:tc>
          <w:tcPr>
            <w:tcW w:w="0" w:type="auto"/>
            <w:tcBorders>
              <w:top w:val="single" w:sz="4" w:space="0" w:color="auto"/>
            </w:tcBorders>
            <w:shd w:val="clear" w:color="auto" w:fill="FFFFFF" w:themeFill="background1"/>
            <w:vAlign w:val="center"/>
          </w:tcPr>
          <w:p w14:paraId="59CAD3D8"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12.97</w:t>
            </w:r>
          </w:p>
        </w:tc>
        <w:tc>
          <w:tcPr>
            <w:tcW w:w="0" w:type="auto"/>
            <w:tcBorders>
              <w:top w:val="single" w:sz="4" w:space="0" w:color="auto"/>
            </w:tcBorders>
            <w:shd w:val="clear" w:color="auto" w:fill="FFFFFF" w:themeFill="background1"/>
            <w:vAlign w:val="center"/>
          </w:tcPr>
          <w:p w14:paraId="552DE78D"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16.09</w:t>
            </w:r>
          </w:p>
        </w:tc>
        <w:tc>
          <w:tcPr>
            <w:tcW w:w="0" w:type="auto"/>
            <w:tcBorders>
              <w:top w:val="single" w:sz="4" w:space="0" w:color="auto"/>
            </w:tcBorders>
            <w:shd w:val="clear" w:color="auto" w:fill="FFFFFF" w:themeFill="background1"/>
            <w:vAlign w:val="center"/>
          </w:tcPr>
          <w:p w14:paraId="5D18DD25"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18.53</w:t>
            </w:r>
          </w:p>
        </w:tc>
        <w:tc>
          <w:tcPr>
            <w:tcW w:w="0" w:type="auto"/>
            <w:tcBorders>
              <w:top w:val="single" w:sz="4" w:space="0" w:color="auto"/>
            </w:tcBorders>
            <w:shd w:val="clear" w:color="auto" w:fill="FFFFFF" w:themeFill="background1"/>
            <w:vAlign w:val="center"/>
          </w:tcPr>
          <w:p w14:paraId="1DE8B4E0"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10.87</w:t>
            </w:r>
          </w:p>
        </w:tc>
        <w:tc>
          <w:tcPr>
            <w:tcW w:w="0" w:type="auto"/>
            <w:tcBorders>
              <w:top w:val="single" w:sz="4" w:space="0" w:color="auto"/>
            </w:tcBorders>
            <w:shd w:val="clear" w:color="auto" w:fill="FFFFFF" w:themeFill="background1"/>
            <w:vAlign w:val="center"/>
          </w:tcPr>
          <w:p w14:paraId="036FC674"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15.3</w:t>
            </w:r>
          </w:p>
        </w:tc>
      </w:tr>
      <w:tr w:rsidR="007561F6" w:rsidRPr="005E2F3B" w14:paraId="5B0EE120" w14:textId="77777777" w:rsidTr="00CF12B5">
        <w:trPr>
          <w:cantSplit/>
          <w:trHeight w:val="20"/>
        </w:trPr>
        <w:tc>
          <w:tcPr>
            <w:tcW w:w="0" w:type="auto"/>
            <w:shd w:val="clear" w:color="auto" w:fill="FFFFFF" w:themeFill="background1"/>
            <w:noWrap/>
            <w:vAlign w:val="center"/>
            <w:hideMark/>
          </w:tcPr>
          <w:p w14:paraId="5B7474D9"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1DB397F4"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17.81</w:t>
            </w:r>
          </w:p>
        </w:tc>
        <w:tc>
          <w:tcPr>
            <w:tcW w:w="0" w:type="auto"/>
            <w:shd w:val="clear" w:color="auto" w:fill="FFFFFF" w:themeFill="background1"/>
            <w:noWrap/>
            <w:vAlign w:val="center"/>
            <w:hideMark/>
          </w:tcPr>
          <w:p w14:paraId="0DD92D6E"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19.51</w:t>
            </w:r>
          </w:p>
        </w:tc>
        <w:tc>
          <w:tcPr>
            <w:tcW w:w="0" w:type="auto"/>
            <w:shd w:val="clear" w:color="auto" w:fill="FFFFFF" w:themeFill="background1"/>
            <w:noWrap/>
            <w:vAlign w:val="center"/>
            <w:hideMark/>
          </w:tcPr>
          <w:p w14:paraId="5FB09ADE"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23.4</w:t>
            </w:r>
          </w:p>
        </w:tc>
        <w:tc>
          <w:tcPr>
            <w:tcW w:w="0" w:type="auto"/>
            <w:shd w:val="clear" w:color="auto" w:fill="FFFFFF" w:themeFill="background1"/>
            <w:vAlign w:val="center"/>
          </w:tcPr>
          <w:p w14:paraId="1532228C"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12.58</w:t>
            </w:r>
          </w:p>
        </w:tc>
        <w:tc>
          <w:tcPr>
            <w:tcW w:w="0" w:type="auto"/>
            <w:shd w:val="clear" w:color="auto" w:fill="FFFFFF" w:themeFill="background1"/>
            <w:vAlign w:val="center"/>
          </w:tcPr>
          <w:p w14:paraId="3F641DEA"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15.54</w:t>
            </w:r>
          </w:p>
        </w:tc>
        <w:tc>
          <w:tcPr>
            <w:tcW w:w="0" w:type="auto"/>
            <w:shd w:val="clear" w:color="auto" w:fill="FFFFFF" w:themeFill="background1"/>
            <w:vAlign w:val="center"/>
          </w:tcPr>
          <w:p w14:paraId="7EDC77AA"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17.27</w:t>
            </w:r>
          </w:p>
        </w:tc>
        <w:tc>
          <w:tcPr>
            <w:tcW w:w="0" w:type="auto"/>
            <w:shd w:val="clear" w:color="auto" w:fill="FFFFFF" w:themeFill="background1"/>
            <w:vAlign w:val="center"/>
          </w:tcPr>
          <w:p w14:paraId="6AE7B6E8"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10.02</w:t>
            </w:r>
          </w:p>
        </w:tc>
        <w:tc>
          <w:tcPr>
            <w:tcW w:w="0" w:type="auto"/>
            <w:shd w:val="clear" w:color="auto" w:fill="FFFFFF" w:themeFill="background1"/>
            <w:vAlign w:val="center"/>
          </w:tcPr>
          <w:p w14:paraId="5660CFC0"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14.6</w:t>
            </w:r>
          </w:p>
        </w:tc>
      </w:tr>
      <w:tr w:rsidR="007561F6" w:rsidRPr="005E2F3B" w14:paraId="772E72F5" w14:textId="77777777" w:rsidTr="00CF12B5">
        <w:trPr>
          <w:cantSplit/>
          <w:trHeight w:val="20"/>
        </w:trPr>
        <w:tc>
          <w:tcPr>
            <w:tcW w:w="0" w:type="auto"/>
            <w:shd w:val="clear" w:color="auto" w:fill="FFFFFF" w:themeFill="background1"/>
            <w:noWrap/>
            <w:vAlign w:val="center"/>
            <w:hideMark/>
          </w:tcPr>
          <w:p w14:paraId="64DF6370"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68F69F38"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17.76</w:t>
            </w:r>
          </w:p>
        </w:tc>
        <w:tc>
          <w:tcPr>
            <w:tcW w:w="0" w:type="auto"/>
            <w:shd w:val="clear" w:color="auto" w:fill="FFFFFF" w:themeFill="background1"/>
            <w:noWrap/>
            <w:vAlign w:val="center"/>
            <w:hideMark/>
          </w:tcPr>
          <w:p w14:paraId="584717E3"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21.93</w:t>
            </w:r>
          </w:p>
        </w:tc>
        <w:tc>
          <w:tcPr>
            <w:tcW w:w="0" w:type="auto"/>
            <w:shd w:val="clear" w:color="auto" w:fill="FFFFFF" w:themeFill="background1"/>
            <w:noWrap/>
            <w:vAlign w:val="center"/>
            <w:hideMark/>
          </w:tcPr>
          <w:p w14:paraId="3A6C3290"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21.34</w:t>
            </w:r>
          </w:p>
        </w:tc>
        <w:tc>
          <w:tcPr>
            <w:tcW w:w="0" w:type="auto"/>
            <w:shd w:val="clear" w:color="auto" w:fill="FFFFFF" w:themeFill="background1"/>
            <w:vAlign w:val="center"/>
          </w:tcPr>
          <w:p w14:paraId="63DC82A5"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12.79</w:t>
            </w:r>
          </w:p>
        </w:tc>
        <w:tc>
          <w:tcPr>
            <w:tcW w:w="0" w:type="auto"/>
            <w:shd w:val="clear" w:color="auto" w:fill="FFFFFF" w:themeFill="background1"/>
            <w:vAlign w:val="center"/>
          </w:tcPr>
          <w:p w14:paraId="1D8CE6F5"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14.64</w:t>
            </w:r>
          </w:p>
        </w:tc>
        <w:tc>
          <w:tcPr>
            <w:tcW w:w="0" w:type="auto"/>
            <w:shd w:val="clear" w:color="auto" w:fill="FFFFFF" w:themeFill="background1"/>
            <w:vAlign w:val="center"/>
          </w:tcPr>
          <w:p w14:paraId="418517E0"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16.78</w:t>
            </w:r>
          </w:p>
        </w:tc>
        <w:tc>
          <w:tcPr>
            <w:tcW w:w="0" w:type="auto"/>
            <w:shd w:val="clear" w:color="auto" w:fill="FFFFFF" w:themeFill="background1"/>
            <w:vAlign w:val="center"/>
          </w:tcPr>
          <w:p w14:paraId="29F1C22B"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11.19</w:t>
            </w:r>
          </w:p>
        </w:tc>
        <w:tc>
          <w:tcPr>
            <w:tcW w:w="0" w:type="auto"/>
            <w:shd w:val="clear" w:color="auto" w:fill="FFFFFF" w:themeFill="background1"/>
            <w:vAlign w:val="center"/>
          </w:tcPr>
          <w:p w14:paraId="3AB2C4A3"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14.42</w:t>
            </w:r>
          </w:p>
        </w:tc>
      </w:tr>
      <w:tr w:rsidR="007561F6" w:rsidRPr="005E2F3B" w14:paraId="555348F2" w14:textId="77777777" w:rsidTr="00CF12B5">
        <w:trPr>
          <w:cantSplit/>
          <w:trHeight w:val="20"/>
        </w:trPr>
        <w:tc>
          <w:tcPr>
            <w:tcW w:w="0" w:type="auto"/>
            <w:shd w:val="clear" w:color="auto" w:fill="FFFFFF" w:themeFill="background1"/>
            <w:noWrap/>
            <w:vAlign w:val="center"/>
            <w:hideMark/>
          </w:tcPr>
          <w:p w14:paraId="4BFD27B9"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49E9D4D3"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16.5</w:t>
            </w:r>
          </w:p>
        </w:tc>
        <w:tc>
          <w:tcPr>
            <w:tcW w:w="0" w:type="auto"/>
            <w:shd w:val="clear" w:color="auto" w:fill="FFFFFF" w:themeFill="background1"/>
            <w:noWrap/>
            <w:vAlign w:val="center"/>
            <w:hideMark/>
          </w:tcPr>
          <w:p w14:paraId="2A967CB8"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19.57</w:t>
            </w:r>
          </w:p>
        </w:tc>
        <w:tc>
          <w:tcPr>
            <w:tcW w:w="0" w:type="auto"/>
            <w:shd w:val="clear" w:color="auto" w:fill="FFFFFF" w:themeFill="background1"/>
            <w:noWrap/>
            <w:vAlign w:val="center"/>
            <w:hideMark/>
          </w:tcPr>
          <w:p w14:paraId="6A3B5F0E"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22.55</w:t>
            </w:r>
          </w:p>
        </w:tc>
        <w:tc>
          <w:tcPr>
            <w:tcW w:w="0" w:type="auto"/>
            <w:shd w:val="clear" w:color="auto" w:fill="FFFFFF" w:themeFill="background1"/>
            <w:vAlign w:val="center"/>
          </w:tcPr>
          <w:p w14:paraId="02BA8F7B"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13.83</w:t>
            </w:r>
          </w:p>
        </w:tc>
        <w:tc>
          <w:tcPr>
            <w:tcW w:w="0" w:type="auto"/>
            <w:shd w:val="clear" w:color="auto" w:fill="FFFFFF" w:themeFill="background1"/>
            <w:vAlign w:val="center"/>
          </w:tcPr>
          <w:p w14:paraId="4A1F0AAB"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16.5</w:t>
            </w:r>
          </w:p>
        </w:tc>
        <w:tc>
          <w:tcPr>
            <w:tcW w:w="0" w:type="auto"/>
            <w:shd w:val="clear" w:color="auto" w:fill="FFFFFF" w:themeFill="background1"/>
            <w:vAlign w:val="center"/>
          </w:tcPr>
          <w:p w14:paraId="23E929AD"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18.58</w:t>
            </w:r>
          </w:p>
        </w:tc>
        <w:tc>
          <w:tcPr>
            <w:tcW w:w="0" w:type="auto"/>
            <w:shd w:val="clear" w:color="auto" w:fill="FFFFFF" w:themeFill="background1"/>
            <w:vAlign w:val="center"/>
          </w:tcPr>
          <w:p w14:paraId="42F09D60"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9.48</w:t>
            </w:r>
          </w:p>
        </w:tc>
        <w:tc>
          <w:tcPr>
            <w:tcW w:w="0" w:type="auto"/>
            <w:shd w:val="clear" w:color="auto" w:fill="FFFFFF" w:themeFill="background1"/>
            <w:vAlign w:val="center"/>
          </w:tcPr>
          <w:p w14:paraId="23D24950"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14.28</w:t>
            </w:r>
          </w:p>
        </w:tc>
      </w:tr>
      <w:tr w:rsidR="007561F6" w:rsidRPr="005E2F3B" w14:paraId="33F44E17" w14:textId="77777777" w:rsidTr="00CF12B5">
        <w:trPr>
          <w:cantSplit/>
          <w:trHeight w:val="20"/>
        </w:trPr>
        <w:tc>
          <w:tcPr>
            <w:tcW w:w="0" w:type="auto"/>
            <w:shd w:val="clear" w:color="auto" w:fill="FFFFFF" w:themeFill="background1"/>
            <w:noWrap/>
            <w:vAlign w:val="center"/>
            <w:hideMark/>
          </w:tcPr>
          <w:p w14:paraId="77223F4E" w14:textId="77777777" w:rsidR="007561F6" w:rsidRPr="005E2F3B" w:rsidRDefault="007561F6" w:rsidP="007561F6">
            <w:pPr>
              <w:spacing w:line="240" w:lineRule="auto"/>
              <w:jc w:val="center"/>
              <w:rPr>
                <w:rFonts w:eastAsia="Times New Roman" w:cs="Times New Roman"/>
                <w:color w:val="000000"/>
                <w:szCs w:val="24"/>
              </w:rPr>
            </w:pPr>
          </w:p>
        </w:tc>
        <w:tc>
          <w:tcPr>
            <w:tcW w:w="0" w:type="auto"/>
            <w:shd w:val="clear" w:color="auto" w:fill="FFFFFF" w:themeFill="background1"/>
            <w:noWrap/>
            <w:vAlign w:val="center"/>
            <w:hideMark/>
          </w:tcPr>
          <w:p w14:paraId="77E399E7"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15.54</w:t>
            </w:r>
          </w:p>
        </w:tc>
        <w:tc>
          <w:tcPr>
            <w:tcW w:w="0" w:type="auto"/>
            <w:shd w:val="clear" w:color="auto" w:fill="FFFFFF" w:themeFill="background1"/>
            <w:noWrap/>
            <w:vAlign w:val="center"/>
            <w:hideMark/>
          </w:tcPr>
          <w:p w14:paraId="71943BCF"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19.69</w:t>
            </w:r>
          </w:p>
        </w:tc>
        <w:tc>
          <w:tcPr>
            <w:tcW w:w="0" w:type="auto"/>
            <w:shd w:val="clear" w:color="auto" w:fill="FFFFFF" w:themeFill="background1"/>
            <w:noWrap/>
            <w:vAlign w:val="center"/>
            <w:hideMark/>
          </w:tcPr>
          <w:p w14:paraId="5EC76F01"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22.63</w:t>
            </w:r>
          </w:p>
        </w:tc>
        <w:tc>
          <w:tcPr>
            <w:tcW w:w="0" w:type="auto"/>
            <w:shd w:val="clear" w:color="auto" w:fill="FFFFFF" w:themeFill="background1"/>
            <w:vAlign w:val="center"/>
          </w:tcPr>
          <w:p w14:paraId="23FA6E7A"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14.52</w:t>
            </w:r>
          </w:p>
        </w:tc>
        <w:tc>
          <w:tcPr>
            <w:tcW w:w="0" w:type="auto"/>
            <w:shd w:val="clear" w:color="auto" w:fill="FFFFFF" w:themeFill="background1"/>
            <w:vAlign w:val="center"/>
          </w:tcPr>
          <w:p w14:paraId="596D147D"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15.04</w:t>
            </w:r>
          </w:p>
        </w:tc>
        <w:tc>
          <w:tcPr>
            <w:tcW w:w="0" w:type="auto"/>
            <w:shd w:val="clear" w:color="auto" w:fill="FFFFFF" w:themeFill="background1"/>
            <w:vAlign w:val="center"/>
          </w:tcPr>
          <w:p w14:paraId="48B7D4E7"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16.01</w:t>
            </w:r>
          </w:p>
        </w:tc>
        <w:tc>
          <w:tcPr>
            <w:tcW w:w="0" w:type="auto"/>
            <w:shd w:val="clear" w:color="auto" w:fill="FFFFFF" w:themeFill="background1"/>
            <w:vAlign w:val="center"/>
          </w:tcPr>
          <w:p w14:paraId="4F6F856C"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8.25</w:t>
            </w:r>
          </w:p>
        </w:tc>
        <w:tc>
          <w:tcPr>
            <w:tcW w:w="0" w:type="auto"/>
            <w:shd w:val="clear" w:color="auto" w:fill="FFFFFF" w:themeFill="background1"/>
            <w:vAlign w:val="center"/>
          </w:tcPr>
          <w:p w14:paraId="045E6278" w14:textId="77777777" w:rsidR="007561F6" w:rsidRPr="005E2F3B" w:rsidRDefault="007561F6" w:rsidP="007561F6">
            <w:pPr>
              <w:spacing w:line="240" w:lineRule="auto"/>
              <w:jc w:val="center"/>
              <w:rPr>
                <w:rFonts w:cs="Times New Roman"/>
                <w:color w:val="000000"/>
                <w:szCs w:val="24"/>
              </w:rPr>
            </w:pPr>
            <w:r w:rsidRPr="005E2F3B">
              <w:rPr>
                <w:rFonts w:cs="Times New Roman"/>
                <w:color w:val="000000"/>
                <w:szCs w:val="24"/>
              </w:rPr>
              <w:t>13.65</w:t>
            </w:r>
          </w:p>
        </w:tc>
      </w:tr>
      <w:tr w:rsidR="007561F6" w:rsidRPr="005E2F3B" w14:paraId="16F27C01" w14:textId="77777777" w:rsidTr="00CF12B5">
        <w:trPr>
          <w:cantSplit/>
          <w:trHeight w:val="20"/>
        </w:trPr>
        <w:tc>
          <w:tcPr>
            <w:tcW w:w="0" w:type="auto"/>
            <w:shd w:val="clear" w:color="auto" w:fill="FFFFFF" w:themeFill="background1"/>
            <w:noWrap/>
            <w:vAlign w:val="center"/>
            <w:hideMark/>
          </w:tcPr>
          <w:p w14:paraId="3E64A08C" w14:textId="77777777" w:rsidR="007561F6" w:rsidRPr="005E2F3B" w:rsidRDefault="007561F6" w:rsidP="007561F6">
            <w:pPr>
              <w:spacing w:line="240" w:lineRule="auto"/>
              <w:jc w:val="center"/>
              <w:rPr>
                <w:rFonts w:eastAsia="Times New Roman" w:cs="Times New Roman"/>
                <w:bCs/>
                <w:color w:val="000000"/>
                <w:szCs w:val="24"/>
              </w:rPr>
            </w:pPr>
            <w:r w:rsidRPr="005E2F3B">
              <w:rPr>
                <w:rFonts w:eastAsia="Times New Roman" w:cs="Times New Roman"/>
                <w:bCs/>
                <w:color w:val="000000"/>
                <w:szCs w:val="24"/>
              </w:rPr>
              <w:t>Mean</w:t>
            </w:r>
          </w:p>
        </w:tc>
        <w:tc>
          <w:tcPr>
            <w:tcW w:w="0" w:type="auto"/>
            <w:shd w:val="clear" w:color="auto" w:fill="FFFFFF" w:themeFill="background1"/>
            <w:noWrap/>
            <w:vAlign w:val="center"/>
            <w:hideMark/>
          </w:tcPr>
          <w:p w14:paraId="356FECAF" w14:textId="77777777" w:rsidR="007561F6" w:rsidRPr="00F87515" w:rsidRDefault="007561F6" w:rsidP="007561F6">
            <w:pPr>
              <w:spacing w:line="240" w:lineRule="auto"/>
              <w:jc w:val="center"/>
              <w:rPr>
                <w:rFonts w:eastAsia="Times New Roman" w:cs="Times New Roman"/>
                <w:bCs/>
                <w:i/>
                <w:iCs/>
                <w:color w:val="000000"/>
                <w:szCs w:val="24"/>
              </w:rPr>
            </w:pPr>
            <w:r w:rsidRPr="00F87515">
              <w:rPr>
                <w:rFonts w:eastAsia="Times New Roman" w:cs="Times New Roman"/>
                <w:bCs/>
                <w:i/>
                <w:iCs/>
                <w:color w:val="000000"/>
                <w:szCs w:val="24"/>
              </w:rPr>
              <w:t>16.92</w:t>
            </w:r>
          </w:p>
        </w:tc>
        <w:tc>
          <w:tcPr>
            <w:tcW w:w="0" w:type="auto"/>
            <w:shd w:val="clear" w:color="auto" w:fill="FFFFFF" w:themeFill="background1"/>
            <w:noWrap/>
            <w:vAlign w:val="center"/>
            <w:hideMark/>
          </w:tcPr>
          <w:p w14:paraId="21D7B68A" w14:textId="77777777" w:rsidR="007561F6" w:rsidRPr="00F87515" w:rsidRDefault="007561F6" w:rsidP="007561F6">
            <w:pPr>
              <w:spacing w:line="240" w:lineRule="auto"/>
              <w:jc w:val="center"/>
              <w:rPr>
                <w:rFonts w:eastAsia="Times New Roman" w:cs="Times New Roman"/>
                <w:bCs/>
                <w:i/>
                <w:iCs/>
                <w:color w:val="000000"/>
                <w:szCs w:val="24"/>
              </w:rPr>
            </w:pPr>
            <w:r w:rsidRPr="00F87515">
              <w:rPr>
                <w:rFonts w:eastAsia="Times New Roman" w:cs="Times New Roman"/>
                <w:bCs/>
                <w:i/>
                <w:iCs/>
                <w:color w:val="000000"/>
                <w:szCs w:val="24"/>
              </w:rPr>
              <w:t>19.94</w:t>
            </w:r>
          </w:p>
        </w:tc>
        <w:tc>
          <w:tcPr>
            <w:tcW w:w="0" w:type="auto"/>
            <w:shd w:val="clear" w:color="auto" w:fill="FFFFFF" w:themeFill="background1"/>
            <w:noWrap/>
            <w:vAlign w:val="center"/>
            <w:hideMark/>
          </w:tcPr>
          <w:p w14:paraId="6B82921D" w14:textId="77777777" w:rsidR="007561F6" w:rsidRPr="00F87515" w:rsidRDefault="007561F6" w:rsidP="007561F6">
            <w:pPr>
              <w:spacing w:line="240" w:lineRule="auto"/>
              <w:jc w:val="center"/>
              <w:rPr>
                <w:rFonts w:eastAsia="Times New Roman" w:cs="Times New Roman"/>
                <w:bCs/>
                <w:i/>
                <w:iCs/>
                <w:color w:val="000000"/>
                <w:szCs w:val="24"/>
              </w:rPr>
            </w:pPr>
            <w:r w:rsidRPr="00F87515">
              <w:rPr>
                <w:rFonts w:eastAsia="Times New Roman" w:cs="Times New Roman"/>
                <w:bCs/>
                <w:i/>
                <w:iCs/>
                <w:color w:val="000000"/>
                <w:szCs w:val="24"/>
              </w:rPr>
              <w:t>23.37</w:t>
            </w:r>
          </w:p>
        </w:tc>
        <w:tc>
          <w:tcPr>
            <w:tcW w:w="0" w:type="auto"/>
            <w:shd w:val="clear" w:color="auto" w:fill="FFFFFF" w:themeFill="background1"/>
            <w:vAlign w:val="center"/>
          </w:tcPr>
          <w:p w14:paraId="0B2C5567"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13.34</w:t>
            </w:r>
          </w:p>
        </w:tc>
        <w:tc>
          <w:tcPr>
            <w:tcW w:w="0" w:type="auto"/>
            <w:shd w:val="clear" w:color="auto" w:fill="FFFFFF" w:themeFill="background1"/>
            <w:vAlign w:val="center"/>
          </w:tcPr>
          <w:p w14:paraId="3ED5156D"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15.56</w:t>
            </w:r>
          </w:p>
        </w:tc>
        <w:tc>
          <w:tcPr>
            <w:tcW w:w="0" w:type="auto"/>
            <w:shd w:val="clear" w:color="auto" w:fill="FFFFFF" w:themeFill="background1"/>
            <w:vAlign w:val="center"/>
          </w:tcPr>
          <w:p w14:paraId="0FA3DB9B"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17.43</w:t>
            </w:r>
          </w:p>
        </w:tc>
        <w:tc>
          <w:tcPr>
            <w:tcW w:w="0" w:type="auto"/>
            <w:shd w:val="clear" w:color="auto" w:fill="FFFFFF" w:themeFill="background1"/>
            <w:vAlign w:val="center"/>
          </w:tcPr>
          <w:p w14:paraId="1C2C7718"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9.96</w:t>
            </w:r>
          </w:p>
        </w:tc>
        <w:tc>
          <w:tcPr>
            <w:tcW w:w="0" w:type="auto"/>
            <w:shd w:val="clear" w:color="auto" w:fill="FFFFFF" w:themeFill="background1"/>
            <w:vAlign w:val="center"/>
          </w:tcPr>
          <w:p w14:paraId="70E18684" w14:textId="77777777" w:rsidR="007561F6" w:rsidRPr="00F87515" w:rsidRDefault="007561F6" w:rsidP="007561F6">
            <w:pPr>
              <w:spacing w:line="240" w:lineRule="auto"/>
              <w:jc w:val="center"/>
              <w:rPr>
                <w:rFonts w:cs="Times New Roman"/>
                <w:bCs/>
                <w:i/>
                <w:iCs/>
                <w:color w:val="000000"/>
                <w:szCs w:val="24"/>
              </w:rPr>
            </w:pPr>
            <w:r w:rsidRPr="00F87515">
              <w:rPr>
                <w:rFonts w:cs="Times New Roman"/>
                <w:bCs/>
                <w:i/>
                <w:iCs/>
                <w:color w:val="000000"/>
                <w:szCs w:val="24"/>
              </w:rPr>
              <w:t>14.45</w:t>
            </w:r>
          </w:p>
        </w:tc>
      </w:tr>
      <w:tr w:rsidR="007561F6" w:rsidRPr="005E2F3B" w14:paraId="2FC50E17" w14:textId="77777777" w:rsidTr="00CF12B5">
        <w:trPr>
          <w:cantSplit/>
          <w:trHeight w:val="20"/>
        </w:trPr>
        <w:tc>
          <w:tcPr>
            <w:tcW w:w="0" w:type="auto"/>
            <w:tcBorders>
              <w:bottom w:val="single" w:sz="4" w:space="0" w:color="auto"/>
            </w:tcBorders>
            <w:shd w:val="clear" w:color="auto" w:fill="FFFFFF" w:themeFill="background1"/>
            <w:noWrap/>
            <w:vAlign w:val="center"/>
            <w:hideMark/>
          </w:tcPr>
          <w:p w14:paraId="6F8BE430" w14:textId="77777777" w:rsidR="007561F6" w:rsidRPr="005E2F3B" w:rsidRDefault="007561F6" w:rsidP="007561F6">
            <w:pPr>
              <w:spacing w:line="240" w:lineRule="auto"/>
              <w:jc w:val="center"/>
              <w:rPr>
                <w:rFonts w:eastAsia="Times New Roman" w:cs="Times New Roman"/>
                <w:color w:val="000000"/>
                <w:szCs w:val="24"/>
              </w:rPr>
            </w:pPr>
            <w:r w:rsidRPr="005E2F3B">
              <w:rPr>
                <w:rFonts w:eastAsia="Times New Roman" w:cs="Times New Roman"/>
                <w:color w:val="000000"/>
                <w:szCs w:val="24"/>
              </w:rPr>
              <w:t>SD</w:t>
            </w:r>
          </w:p>
        </w:tc>
        <w:tc>
          <w:tcPr>
            <w:tcW w:w="0" w:type="auto"/>
            <w:tcBorders>
              <w:bottom w:val="single" w:sz="4" w:space="0" w:color="auto"/>
            </w:tcBorders>
            <w:shd w:val="clear" w:color="auto" w:fill="FFFFFF" w:themeFill="background1"/>
            <w:noWrap/>
            <w:vAlign w:val="center"/>
            <w:hideMark/>
          </w:tcPr>
          <w:p w14:paraId="64BDFD9F" w14:textId="77777777" w:rsidR="007561F6" w:rsidRPr="00F87515" w:rsidRDefault="007561F6" w:rsidP="007561F6">
            <w:pPr>
              <w:spacing w:line="240" w:lineRule="auto"/>
              <w:jc w:val="center"/>
              <w:rPr>
                <w:rFonts w:eastAsia="Times New Roman" w:cs="Times New Roman"/>
                <w:i/>
                <w:iCs/>
                <w:color w:val="000000"/>
                <w:szCs w:val="24"/>
              </w:rPr>
            </w:pPr>
            <w:r w:rsidRPr="00F87515">
              <w:rPr>
                <w:rFonts w:eastAsia="Times New Roman" w:cs="Times New Roman"/>
                <w:i/>
                <w:iCs/>
                <w:color w:val="000000"/>
                <w:szCs w:val="24"/>
              </w:rPr>
              <w:t>0.95</w:t>
            </w:r>
          </w:p>
        </w:tc>
        <w:tc>
          <w:tcPr>
            <w:tcW w:w="0" w:type="auto"/>
            <w:tcBorders>
              <w:bottom w:val="single" w:sz="4" w:space="0" w:color="auto"/>
            </w:tcBorders>
            <w:shd w:val="clear" w:color="auto" w:fill="FFFFFF" w:themeFill="background1"/>
            <w:noWrap/>
            <w:vAlign w:val="center"/>
            <w:hideMark/>
          </w:tcPr>
          <w:p w14:paraId="67B7A416" w14:textId="77777777" w:rsidR="007561F6" w:rsidRPr="00F87515" w:rsidRDefault="007561F6" w:rsidP="007561F6">
            <w:pPr>
              <w:spacing w:line="240" w:lineRule="auto"/>
              <w:jc w:val="center"/>
              <w:rPr>
                <w:rFonts w:eastAsia="Times New Roman" w:cs="Times New Roman"/>
                <w:i/>
                <w:iCs/>
                <w:color w:val="000000"/>
                <w:szCs w:val="24"/>
              </w:rPr>
            </w:pPr>
            <w:r w:rsidRPr="00F87515">
              <w:rPr>
                <w:rFonts w:eastAsia="Times New Roman" w:cs="Times New Roman"/>
                <w:i/>
                <w:iCs/>
                <w:color w:val="000000"/>
                <w:szCs w:val="24"/>
              </w:rPr>
              <w:t>1.14</w:t>
            </w:r>
          </w:p>
        </w:tc>
        <w:tc>
          <w:tcPr>
            <w:tcW w:w="0" w:type="auto"/>
            <w:tcBorders>
              <w:bottom w:val="single" w:sz="4" w:space="0" w:color="auto"/>
            </w:tcBorders>
            <w:shd w:val="clear" w:color="auto" w:fill="FFFFFF" w:themeFill="background1"/>
            <w:noWrap/>
            <w:vAlign w:val="center"/>
            <w:hideMark/>
          </w:tcPr>
          <w:p w14:paraId="0B1ECC58" w14:textId="77777777" w:rsidR="007561F6" w:rsidRPr="00F87515" w:rsidRDefault="007561F6" w:rsidP="007561F6">
            <w:pPr>
              <w:spacing w:line="240" w:lineRule="auto"/>
              <w:jc w:val="center"/>
              <w:rPr>
                <w:rFonts w:eastAsia="Times New Roman" w:cs="Times New Roman"/>
                <w:i/>
                <w:iCs/>
                <w:color w:val="000000"/>
                <w:szCs w:val="24"/>
              </w:rPr>
            </w:pPr>
            <w:r w:rsidRPr="00F87515">
              <w:rPr>
                <w:rFonts w:eastAsia="Times New Roman" w:cs="Times New Roman"/>
                <w:i/>
                <w:iCs/>
                <w:color w:val="000000"/>
                <w:szCs w:val="24"/>
              </w:rPr>
              <w:t>2.12</w:t>
            </w:r>
          </w:p>
        </w:tc>
        <w:tc>
          <w:tcPr>
            <w:tcW w:w="0" w:type="auto"/>
            <w:tcBorders>
              <w:bottom w:val="single" w:sz="4" w:space="0" w:color="auto"/>
            </w:tcBorders>
            <w:shd w:val="clear" w:color="auto" w:fill="FFFFFF" w:themeFill="background1"/>
            <w:vAlign w:val="center"/>
          </w:tcPr>
          <w:p w14:paraId="3791F21C"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0.81</w:t>
            </w:r>
          </w:p>
        </w:tc>
        <w:tc>
          <w:tcPr>
            <w:tcW w:w="0" w:type="auto"/>
            <w:tcBorders>
              <w:bottom w:val="single" w:sz="4" w:space="0" w:color="auto"/>
            </w:tcBorders>
            <w:shd w:val="clear" w:color="auto" w:fill="FFFFFF" w:themeFill="background1"/>
            <w:vAlign w:val="center"/>
          </w:tcPr>
          <w:p w14:paraId="7501E11A"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0.76</w:t>
            </w:r>
          </w:p>
        </w:tc>
        <w:tc>
          <w:tcPr>
            <w:tcW w:w="0" w:type="auto"/>
            <w:tcBorders>
              <w:bottom w:val="single" w:sz="4" w:space="0" w:color="auto"/>
            </w:tcBorders>
            <w:shd w:val="clear" w:color="auto" w:fill="FFFFFF" w:themeFill="background1"/>
            <w:vAlign w:val="center"/>
          </w:tcPr>
          <w:p w14:paraId="6425A6D7"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1.12</w:t>
            </w:r>
          </w:p>
        </w:tc>
        <w:tc>
          <w:tcPr>
            <w:tcW w:w="0" w:type="auto"/>
            <w:tcBorders>
              <w:bottom w:val="single" w:sz="4" w:space="0" w:color="auto"/>
            </w:tcBorders>
            <w:shd w:val="clear" w:color="auto" w:fill="FFFFFF" w:themeFill="background1"/>
            <w:vAlign w:val="center"/>
          </w:tcPr>
          <w:p w14:paraId="137E84D0"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1.17</w:t>
            </w:r>
          </w:p>
        </w:tc>
        <w:tc>
          <w:tcPr>
            <w:tcW w:w="0" w:type="auto"/>
            <w:tcBorders>
              <w:bottom w:val="single" w:sz="4" w:space="0" w:color="auto"/>
            </w:tcBorders>
            <w:shd w:val="clear" w:color="auto" w:fill="FFFFFF" w:themeFill="background1"/>
            <w:vAlign w:val="center"/>
          </w:tcPr>
          <w:p w14:paraId="77B9D8F4" w14:textId="77777777" w:rsidR="007561F6" w:rsidRPr="00F87515" w:rsidRDefault="007561F6" w:rsidP="007561F6">
            <w:pPr>
              <w:spacing w:line="240" w:lineRule="auto"/>
              <w:jc w:val="center"/>
              <w:rPr>
                <w:rFonts w:cs="Times New Roman"/>
                <w:i/>
                <w:iCs/>
                <w:color w:val="000000"/>
                <w:szCs w:val="24"/>
              </w:rPr>
            </w:pPr>
            <w:r w:rsidRPr="00F87515">
              <w:rPr>
                <w:rFonts w:cs="Times New Roman"/>
                <w:i/>
                <w:iCs/>
                <w:color w:val="000000"/>
                <w:szCs w:val="24"/>
              </w:rPr>
              <w:t>0.59</w:t>
            </w:r>
          </w:p>
        </w:tc>
      </w:tr>
    </w:tbl>
    <w:p w14:paraId="477BCAAF" w14:textId="77777777" w:rsidR="007561F6" w:rsidRDefault="007561F6" w:rsidP="007561F6">
      <w:pPr>
        <w:spacing w:after="160" w:line="259" w:lineRule="auto"/>
        <w:rPr>
          <w:rFonts w:cs="Times New Roman"/>
        </w:rPr>
      </w:pPr>
      <w:r>
        <w:rPr>
          <w:rFonts w:cs="Times New Roman"/>
        </w:rPr>
        <w:br w:type="page"/>
      </w:r>
      <w:bookmarkStart w:id="11" w:name="_GoBack"/>
      <w:bookmarkEnd w:id="11"/>
    </w:p>
    <w:p w14:paraId="731B7FE7" w14:textId="77777777" w:rsidR="007561F6" w:rsidRDefault="007561F6" w:rsidP="007561F6">
      <w:pPr>
        <w:rPr>
          <w:rFonts w:cs="Times New Roman"/>
          <w:b/>
        </w:rPr>
      </w:pPr>
      <w:r w:rsidRPr="00D973D5">
        <w:rPr>
          <w:rFonts w:cs="Times New Roman"/>
          <w:b/>
        </w:rPr>
        <w:lastRenderedPageBreak/>
        <w:t xml:space="preserve">Supplementary </w:t>
      </w:r>
      <w:r>
        <w:rPr>
          <w:rFonts w:cs="Times New Roman"/>
          <w:b/>
        </w:rPr>
        <w:t>Figures</w:t>
      </w:r>
    </w:p>
    <w:p w14:paraId="1590F2CE" w14:textId="77777777" w:rsidR="007561F6" w:rsidRPr="00F56651" w:rsidRDefault="007561F6" w:rsidP="007561F6">
      <w:pPr>
        <w:rPr>
          <w:rFonts w:cs="Times New Roman"/>
        </w:rPr>
      </w:pPr>
      <w:r>
        <w:rPr>
          <w:rFonts w:cs="Times New Roman"/>
          <w:noProof/>
          <w:lang w:val="fr-FR" w:eastAsia="ko-KR"/>
        </w:rPr>
        <w:drawing>
          <wp:inline distT="0" distB="0" distL="0" distR="0" wp14:anchorId="6D022881" wp14:editId="06D8C684">
            <wp:extent cx="5943600" cy="43351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pp Caninetransects.emf"/>
                    <pic:cNvPicPr/>
                  </pic:nvPicPr>
                  <pic:blipFill>
                    <a:blip r:embed="rId9">
                      <a:extLst>
                        <a:ext uri="{28A0092B-C50C-407E-A947-70E740481C1C}">
                          <a14:useLocalDpi xmlns:a14="http://schemas.microsoft.com/office/drawing/2010/main" val="0"/>
                        </a:ext>
                      </a:extLst>
                    </a:blip>
                    <a:stretch>
                      <a:fillRect/>
                    </a:stretch>
                  </pic:blipFill>
                  <pic:spPr>
                    <a:xfrm>
                      <a:off x="0" y="0"/>
                      <a:ext cx="5943600" cy="4335145"/>
                    </a:xfrm>
                    <a:prstGeom prst="rect">
                      <a:avLst/>
                    </a:prstGeom>
                  </pic:spPr>
                </pic:pic>
              </a:graphicData>
            </a:graphic>
          </wp:inline>
        </w:drawing>
      </w:r>
    </w:p>
    <w:p w14:paraId="74BF7737" w14:textId="613129C7" w:rsidR="007561F6" w:rsidRDefault="007561F6" w:rsidP="007561F6">
      <w:pPr>
        <w:rPr>
          <w:rFonts w:cs="Times New Roman"/>
        </w:rPr>
      </w:pPr>
      <w:r w:rsidRPr="003F3496">
        <w:rPr>
          <w:rFonts w:cs="Times New Roman"/>
        </w:rPr>
        <w:t xml:space="preserve">Figure </w:t>
      </w:r>
      <w:r w:rsidR="003F3496" w:rsidRPr="003F3496">
        <w:rPr>
          <w:rFonts w:cs="Times New Roman"/>
        </w:rPr>
        <w:t>S</w:t>
      </w:r>
      <w:r w:rsidR="003F3496" w:rsidRPr="00D52EF8">
        <w:rPr>
          <w:rFonts w:cs="Times New Roman"/>
        </w:rPr>
        <w:t>1</w:t>
      </w:r>
      <w:r w:rsidRPr="00F56651">
        <w:rPr>
          <w:rFonts w:cs="Times New Roman"/>
        </w:rPr>
        <w:t xml:space="preserve">. </w:t>
      </w:r>
      <w:r w:rsidR="008A648E">
        <w:rPr>
          <w:rFonts w:cs="Times New Roman"/>
        </w:rPr>
        <w:t>Souron2 c</w:t>
      </w:r>
      <w:r w:rsidR="008A648E" w:rsidRPr="00F56651">
        <w:rPr>
          <w:rFonts w:cs="Times New Roman"/>
        </w:rPr>
        <w:t xml:space="preserve">anine </w:t>
      </w:r>
      <w:r w:rsidRPr="00F56651">
        <w:rPr>
          <w:rFonts w:cs="Times New Roman"/>
        </w:rPr>
        <w:t xml:space="preserve">mineralization pattern based on micro-CT grayscale values using transects perpendicular to the </w:t>
      </w:r>
      <w:r w:rsidR="0009193A">
        <w:rPr>
          <w:rFonts w:cs="Times New Roman"/>
        </w:rPr>
        <w:t>enamel-dentine junction (</w:t>
      </w:r>
      <w:r w:rsidRPr="00F56651">
        <w:rPr>
          <w:rFonts w:cs="Times New Roman"/>
        </w:rPr>
        <w:t>EDJ</w:t>
      </w:r>
      <w:r w:rsidR="0009193A">
        <w:rPr>
          <w:rFonts w:cs="Times New Roman"/>
        </w:rPr>
        <w:t>)</w:t>
      </w:r>
      <w:r>
        <w:rPr>
          <w:rFonts w:cs="Times New Roman"/>
        </w:rPr>
        <w:t xml:space="preserve">; </w:t>
      </w:r>
      <w:r w:rsidR="002F03F1">
        <w:rPr>
          <w:rFonts w:cs="Times New Roman"/>
        </w:rPr>
        <w:t xml:space="preserve">panel a) shows the relative density of dental tissue as fractions of mature enamel along the transects shown in panel b); </w:t>
      </w:r>
      <w:r>
        <w:rPr>
          <w:rFonts w:cs="Times New Roman"/>
        </w:rPr>
        <w:t xml:space="preserve">note that the initial enamel matrix is not preserved in this specimen, marked by the presence of EDJ towards the cervix </w:t>
      </w:r>
      <w:r w:rsidR="00A04516">
        <w:rPr>
          <w:rFonts w:cs="Times New Roman"/>
        </w:rPr>
        <w:t xml:space="preserve">while </w:t>
      </w:r>
      <w:r>
        <w:rPr>
          <w:rFonts w:cs="Times New Roman"/>
        </w:rPr>
        <w:t>only dentine is visible.</w:t>
      </w:r>
    </w:p>
    <w:p w14:paraId="704D6387" w14:textId="77777777" w:rsidR="007561F6" w:rsidRDefault="007561F6" w:rsidP="007561F6">
      <w:pPr>
        <w:rPr>
          <w:rFonts w:cs="Times New Roman"/>
        </w:rPr>
      </w:pPr>
      <w:r>
        <w:rPr>
          <w:rFonts w:cs="Times New Roman"/>
        </w:rPr>
        <w:br w:type="page"/>
      </w:r>
    </w:p>
    <w:p w14:paraId="63F01745" w14:textId="77777777" w:rsidR="007561F6" w:rsidRPr="00F56651" w:rsidRDefault="007561F6" w:rsidP="007561F6">
      <w:pPr>
        <w:rPr>
          <w:rFonts w:cs="Times New Roman"/>
        </w:rPr>
      </w:pPr>
      <w:r>
        <w:rPr>
          <w:rFonts w:cs="Times New Roman"/>
          <w:noProof/>
          <w:lang w:val="fr-FR" w:eastAsia="ko-KR"/>
        </w:rPr>
        <w:lastRenderedPageBreak/>
        <w:drawing>
          <wp:inline distT="0" distB="0" distL="0" distR="0" wp14:anchorId="45446DED" wp14:editId="6D39EADF">
            <wp:extent cx="5943600" cy="424370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 Molartransect.emf"/>
                    <pic:cNvPicPr/>
                  </pic:nvPicPr>
                  <pic:blipFill>
                    <a:blip r:embed="rId10">
                      <a:extLst>
                        <a:ext uri="{28A0092B-C50C-407E-A947-70E740481C1C}">
                          <a14:useLocalDpi xmlns:a14="http://schemas.microsoft.com/office/drawing/2010/main" val="0"/>
                        </a:ext>
                      </a:extLst>
                    </a:blip>
                    <a:stretch>
                      <a:fillRect/>
                    </a:stretch>
                  </pic:blipFill>
                  <pic:spPr>
                    <a:xfrm>
                      <a:off x="0" y="0"/>
                      <a:ext cx="5943600" cy="4243705"/>
                    </a:xfrm>
                    <a:prstGeom prst="rect">
                      <a:avLst/>
                    </a:prstGeom>
                  </pic:spPr>
                </pic:pic>
              </a:graphicData>
            </a:graphic>
          </wp:inline>
        </w:drawing>
      </w:r>
    </w:p>
    <w:p w14:paraId="0CB99B32" w14:textId="504BD0A1" w:rsidR="007561F6" w:rsidRPr="00F56651" w:rsidRDefault="007561F6" w:rsidP="007561F6">
      <w:pPr>
        <w:rPr>
          <w:rFonts w:cs="Times New Roman"/>
        </w:rPr>
      </w:pPr>
      <w:r w:rsidRPr="003F3496">
        <w:rPr>
          <w:rFonts w:cs="Times New Roman"/>
        </w:rPr>
        <w:t xml:space="preserve">Figure </w:t>
      </w:r>
      <w:r w:rsidR="003F3496" w:rsidRPr="003F3496">
        <w:rPr>
          <w:rFonts w:cs="Times New Roman"/>
        </w:rPr>
        <w:t>S</w:t>
      </w:r>
      <w:r w:rsidR="003F3496" w:rsidRPr="00D52EF8">
        <w:rPr>
          <w:rFonts w:cs="Times New Roman"/>
        </w:rPr>
        <w:t>2</w:t>
      </w:r>
      <w:r w:rsidRPr="00F56651">
        <w:rPr>
          <w:rFonts w:cs="Times New Roman"/>
        </w:rPr>
        <w:t xml:space="preserve">. </w:t>
      </w:r>
      <w:r w:rsidR="008A648E">
        <w:rPr>
          <w:rFonts w:cs="Times New Roman"/>
        </w:rPr>
        <w:t>Souron1 m</w:t>
      </w:r>
      <w:r w:rsidRPr="00F56651">
        <w:rPr>
          <w:rFonts w:cs="Times New Roman"/>
        </w:rPr>
        <w:t xml:space="preserve">olar mineralization pattern based on micro-CT grayscale values using transects perpendicular to the </w:t>
      </w:r>
      <w:r w:rsidR="0009193A">
        <w:rPr>
          <w:rFonts w:cs="Times New Roman"/>
        </w:rPr>
        <w:t>enamel-dentine junction (</w:t>
      </w:r>
      <w:r w:rsidRPr="00F56651">
        <w:rPr>
          <w:rFonts w:cs="Times New Roman"/>
        </w:rPr>
        <w:t>EDJ</w:t>
      </w:r>
      <w:r w:rsidR="0009193A">
        <w:rPr>
          <w:rFonts w:cs="Times New Roman"/>
        </w:rPr>
        <w:t>)</w:t>
      </w:r>
      <w:r w:rsidR="002F03F1">
        <w:rPr>
          <w:rFonts w:cs="Times New Roman"/>
        </w:rPr>
        <w:t>;</w:t>
      </w:r>
      <w:r w:rsidR="002F03F1" w:rsidRPr="002F03F1">
        <w:rPr>
          <w:rFonts w:cs="Times New Roman"/>
        </w:rPr>
        <w:t xml:space="preserve"> </w:t>
      </w:r>
      <w:r w:rsidR="002F03F1">
        <w:rPr>
          <w:rFonts w:cs="Times New Roman"/>
        </w:rPr>
        <w:t>panel a) shows the relative density of dental tissue as fractions of mature enamel along the transects shown in panel b)</w:t>
      </w:r>
      <w:r w:rsidRPr="00F56651">
        <w:rPr>
          <w:rFonts w:cs="Times New Roman"/>
        </w:rPr>
        <w:t xml:space="preserve">. </w:t>
      </w:r>
    </w:p>
    <w:p w14:paraId="47837A92" w14:textId="77777777" w:rsidR="007561F6" w:rsidRDefault="007561F6" w:rsidP="007561F6">
      <w:pPr>
        <w:rPr>
          <w:rFonts w:cs="Times New Roman"/>
        </w:rPr>
      </w:pPr>
      <w:r>
        <w:rPr>
          <w:rFonts w:cs="Times New Roman"/>
        </w:rPr>
        <w:br w:type="page"/>
      </w:r>
    </w:p>
    <w:p w14:paraId="1A020FBA" w14:textId="77777777" w:rsidR="007561F6" w:rsidRDefault="007561F6" w:rsidP="007561F6">
      <w:pPr>
        <w:rPr>
          <w:rFonts w:cs="Times New Roman"/>
        </w:rPr>
      </w:pPr>
      <w:r w:rsidRPr="003F6070">
        <w:rPr>
          <w:rFonts w:cs="Times New Roman"/>
          <w:noProof/>
          <w:lang w:val="fr-FR" w:eastAsia="ko-KR"/>
        </w:rPr>
        <w:lastRenderedPageBreak/>
        <w:drawing>
          <wp:inline distT="0" distB="0" distL="0" distR="0" wp14:anchorId="61F45BAE" wp14:editId="766E06FD">
            <wp:extent cx="5943600" cy="38233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 finit plot.emf"/>
                    <pic:cNvPicPr/>
                  </pic:nvPicPr>
                  <pic:blipFill>
                    <a:blip r:embed="rId11">
                      <a:extLst>
                        <a:ext uri="{28A0092B-C50C-407E-A947-70E740481C1C}">
                          <a14:useLocalDpi xmlns:a14="http://schemas.microsoft.com/office/drawing/2010/main" val="0"/>
                        </a:ext>
                      </a:extLst>
                    </a:blip>
                    <a:stretch>
                      <a:fillRect/>
                    </a:stretch>
                  </pic:blipFill>
                  <pic:spPr>
                    <a:xfrm>
                      <a:off x="0" y="0"/>
                      <a:ext cx="5943600" cy="3823335"/>
                    </a:xfrm>
                    <a:prstGeom prst="rect">
                      <a:avLst/>
                    </a:prstGeom>
                  </pic:spPr>
                </pic:pic>
              </a:graphicData>
            </a:graphic>
          </wp:inline>
        </w:drawing>
      </w:r>
    </w:p>
    <w:p w14:paraId="5C22207F" w14:textId="361C9687" w:rsidR="007561F6" w:rsidRDefault="007561F6" w:rsidP="007561F6">
      <w:pPr>
        <w:rPr>
          <w:rFonts w:cs="Times New Roman"/>
        </w:rPr>
      </w:pPr>
      <w:r w:rsidRPr="003F3496">
        <w:rPr>
          <w:rFonts w:cs="Times New Roman"/>
        </w:rPr>
        <w:t xml:space="preserve">Figure </w:t>
      </w:r>
      <w:r w:rsidR="003F3496" w:rsidRPr="003F3496">
        <w:rPr>
          <w:rFonts w:cs="Times New Roman"/>
        </w:rPr>
        <w:t>S</w:t>
      </w:r>
      <w:r w:rsidR="003F3496" w:rsidRPr="00D52EF8">
        <w:rPr>
          <w:rFonts w:cs="Times New Roman"/>
        </w:rPr>
        <w:t>3</w:t>
      </w:r>
      <w:r w:rsidRPr="003F3496">
        <w:rPr>
          <w:rFonts w:cs="Times New Roman"/>
        </w:rPr>
        <w:t xml:space="preserve">. </w:t>
      </w:r>
      <w:r>
        <w:rPr>
          <w:rFonts w:cs="Times New Roman"/>
        </w:rPr>
        <w:t xml:space="preserve">Inverse model output using different </w:t>
      </w:r>
      <w:proofErr w:type="spellStart"/>
      <w:r w:rsidRPr="00052BB1">
        <w:rPr>
          <w:rFonts w:cs="Times New Roman"/>
          <w:i/>
        </w:rPr>
        <w:t>f</w:t>
      </w:r>
      <w:r w:rsidRPr="00052BB1">
        <w:rPr>
          <w:rFonts w:cs="Times New Roman"/>
          <w:i/>
          <w:vertAlign w:val="subscript"/>
        </w:rPr>
        <w:t>init</w:t>
      </w:r>
      <w:proofErr w:type="spellEnd"/>
      <w:r>
        <w:rPr>
          <w:rFonts w:cs="Times New Roman"/>
        </w:rPr>
        <w:t xml:space="preserve"> values; gray </w:t>
      </w:r>
      <w:r w:rsidRPr="004826A7">
        <w:rPr>
          <w:rFonts w:cs="Times New Roman"/>
        </w:rPr>
        <w:t xml:space="preserve">shaded area is </w:t>
      </w:r>
      <w:r w:rsidRPr="004826A7">
        <w:rPr>
          <w:rFonts w:eastAsia="Times New Roman" w:cs="Times New Roman"/>
        </w:rPr>
        <w:t xml:space="preserve">±2σ of the </w:t>
      </w:r>
      <w:r>
        <w:rPr>
          <w:rFonts w:eastAsia="Times New Roman" w:cs="Times New Roman"/>
        </w:rPr>
        <w:t xml:space="preserve">100 </w:t>
      </w:r>
      <w:r w:rsidRPr="004826A7">
        <w:rPr>
          <w:rFonts w:eastAsia="Times New Roman" w:cs="Times New Roman"/>
        </w:rPr>
        <w:t>solutions</w:t>
      </w:r>
      <w:r>
        <w:rPr>
          <w:rFonts w:cs="Times New Roman"/>
        </w:rPr>
        <w:t xml:space="preserve"> when </w:t>
      </w:r>
      <w:proofErr w:type="spellStart"/>
      <w:r w:rsidRPr="00052BB1">
        <w:rPr>
          <w:rFonts w:cs="Times New Roman"/>
          <w:i/>
        </w:rPr>
        <w:t>f</w:t>
      </w:r>
      <w:r w:rsidRPr="00052BB1">
        <w:rPr>
          <w:rFonts w:cs="Times New Roman"/>
          <w:i/>
          <w:vertAlign w:val="subscript"/>
        </w:rPr>
        <w:t>init</w:t>
      </w:r>
      <w:proofErr w:type="spellEnd"/>
      <w:r>
        <w:rPr>
          <w:rFonts w:cs="Times New Roman"/>
        </w:rPr>
        <w:t xml:space="preserve"> is set at 0.45; </w:t>
      </w:r>
      <w:r w:rsidRPr="004826A7">
        <w:rPr>
          <w:rFonts w:eastAsia="Times New Roman" w:cs="Times New Roman"/>
        </w:rPr>
        <w:t>V</w:t>
      </w:r>
      <w:r>
        <w:rPr>
          <w:rFonts w:eastAsia="Times New Roman" w:cs="Times New Roman"/>
        </w:rPr>
        <w:t>-</w:t>
      </w:r>
      <w:r w:rsidRPr="004826A7">
        <w:rPr>
          <w:rFonts w:eastAsia="Times New Roman" w:cs="Times New Roman"/>
        </w:rPr>
        <w:t>PDB = Vienna Pee Dee Belemnite</w:t>
      </w:r>
      <w:r w:rsidR="0009193A">
        <w:rPr>
          <w:rFonts w:eastAsia="Times New Roman" w:cs="Times New Roman"/>
        </w:rPr>
        <w:t>; ERJ = enamel-root junction.</w:t>
      </w:r>
    </w:p>
    <w:p w14:paraId="24457E62" w14:textId="77777777" w:rsidR="007561F6" w:rsidRDefault="007561F6" w:rsidP="007561F6">
      <w:pPr>
        <w:spacing w:after="160" w:line="259" w:lineRule="auto"/>
        <w:rPr>
          <w:rFonts w:cs="Times New Roman"/>
        </w:rPr>
      </w:pPr>
      <w:r>
        <w:rPr>
          <w:rFonts w:cs="Times New Roman"/>
        </w:rPr>
        <w:br w:type="page"/>
      </w:r>
    </w:p>
    <w:p w14:paraId="190E2BB4" w14:textId="77777777" w:rsidR="007561F6" w:rsidRDefault="007561F6" w:rsidP="007561F6">
      <w:pPr>
        <w:rPr>
          <w:rFonts w:cs="Times New Roman"/>
        </w:rPr>
      </w:pPr>
    </w:p>
    <w:p w14:paraId="4FAF5169" w14:textId="77777777" w:rsidR="007561F6" w:rsidRPr="00F56651" w:rsidRDefault="007561F6" w:rsidP="007561F6">
      <w:pPr>
        <w:rPr>
          <w:rFonts w:cs="Times New Roman"/>
        </w:rPr>
      </w:pPr>
      <w:r>
        <w:rPr>
          <w:rFonts w:cs="Times New Roman"/>
          <w:noProof/>
          <w:lang w:val="fr-FR" w:eastAsia="ko-KR"/>
        </w:rPr>
        <w:drawing>
          <wp:inline distT="0" distB="0" distL="0" distR="0" wp14:anchorId="760EFD83" wp14:editId="3820701E">
            <wp:extent cx="4699000" cy="3760204"/>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 C angle.emf"/>
                    <pic:cNvPicPr/>
                  </pic:nvPicPr>
                  <pic:blipFill>
                    <a:blip r:embed="rId12">
                      <a:extLst>
                        <a:ext uri="{28A0092B-C50C-407E-A947-70E740481C1C}">
                          <a14:useLocalDpi xmlns:a14="http://schemas.microsoft.com/office/drawing/2010/main" val="0"/>
                        </a:ext>
                      </a:extLst>
                    </a:blip>
                    <a:stretch>
                      <a:fillRect/>
                    </a:stretch>
                  </pic:blipFill>
                  <pic:spPr>
                    <a:xfrm>
                      <a:off x="0" y="0"/>
                      <a:ext cx="4704219" cy="3764380"/>
                    </a:xfrm>
                    <a:prstGeom prst="rect">
                      <a:avLst/>
                    </a:prstGeom>
                  </pic:spPr>
                </pic:pic>
              </a:graphicData>
            </a:graphic>
          </wp:inline>
        </w:drawing>
      </w:r>
    </w:p>
    <w:p w14:paraId="13D30BC1" w14:textId="24BFF4A1" w:rsidR="007561F6" w:rsidRDefault="007561F6" w:rsidP="007561F6">
      <w:r w:rsidRPr="003F3496">
        <w:t xml:space="preserve">Figure </w:t>
      </w:r>
      <w:r w:rsidR="003F3496" w:rsidRPr="003F3496">
        <w:t>S</w:t>
      </w:r>
      <w:r w:rsidR="003F3496" w:rsidRPr="00D52EF8">
        <w:t>4</w:t>
      </w:r>
      <w:r>
        <w:t>.</w:t>
      </w:r>
      <w:r w:rsidRPr="00F56651">
        <w:t xml:space="preserve"> </w:t>
      </w:r>
      <w:r>
        <w:t>W</w:t>
      </w:r>
      <w:r w:rsidRPr="00F56651">
        <w:t xml:space="preserve">arthog canine </w:t>
      </w:r>
      <w:r>
        <w:t xml:space="preserve">(Souron2) </w:t>
      </w:r>
      <w:r w:rsidRPr="00F56651">
        <w:t>enamel appositional angle</w:t>
      </w:r>
      <w:r>
        <w:t xml:space="preserve"> (enamel formation front angle)</w:t>
      </w:r>
      <w:r w:rsidRPr="00F56651">
        <w:t xml:space="preserve"> along the EDJ</w:t>
      </w:r>
      <w:r>
        <w:t>; d</w:t>
      </w:r>
      <w:r w:rsidRPr="00F56651">
        <w:t>ark gray shade</w:t>
      </w:r>
      <w:r>
        <w:t>d area</w:t>
      </w:r>
      <w:r w:rsidRPr="00F56651">
        <w:t>: 95</w:t>
      </w:r>
      <w:r>
        <w:t xml:space="preserve"> </w:t>
      </w:r>
      <w:r w:rsidRPr="00F56651">
        <w:t>% CI for regression; light gray shade</w:t>
      </w:r>
      <w:r>
        <w:t>d area</w:t>
      </w:r>
      <w:r w:rsidRPr="00F56651">
        <w:t>: 95</w:t>
      </w:r>
      <w:r>
        <w:t xml:space="preserve"> </w:t>
      </w:r>
      <w:r w:rsidRPr="00F56651">
        <w:t>% prediction interval for regression.</w:t>
      </w:r>
    </w:p>
    <w:p w14:paraId="2276A017" w14:textId="77777777" w:rsidR="007561F6" w:rsidRDefault="007561F6" w:rsidP="007561F6">
      <w:r>
        <w:br w:type="page"/>
      </w:r>
    </w:p>
    <w:p w14:paraId="3BE855F1" w14:textId="10BA13B3" w:rsidR="007561F6" w:rsidRDefault="007C5FD1" w:rsidP="007561F6">
      <w:r>
        <w:rPr>
          <w:noProof/>
        </w:rPr>
        <w:lastRenderedPageBreak/>
        <w:drawing>
          <wp:inline distT="0" distB="0" distL="0" distR="0" wp14:anchorId="4D9279B7" wp14:editId="10374C9E">
            <wp:extent cx="4791075" cy="41338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5.emf"/>
                    <pic:cNvPicPr/>
                  </pic:nvPicPr>
                  <pic:blipFill>
                    <a:blip r:embed="rId13">
                      <a:extLst>
                        <a:ext uri="{28A0092B-C50C-407E-A947-70E740481C1C}">
                          <a14:useLocalDpi xmlns:a14="http://schemas.microsoft.com/office/drawing/2010/main" val="0"/>
                        </a:ext>
                      </a:extLst>
                    </a:blip>
                    <a:stretch>
                      <a:fillRect/>
                    </a:stretch>
                  </pic:blipFill>
                  <pic:spPr>
                    <a:xfrm>
                      <a:off x="0" y="0"/>
                      <a:ext cx="4803043" cy="4144164"/>
                    </a:xfrm>
                    <a:prstGeom prst="rect">
                      <a:avLst/>
                    </a:prstGeom>
                  </pic:spPr>
                </pic:pic>
              </a:graphicData>
            </a:graphic>
          </wp:inline>
        </w:drawing>
      </w:r>
    </w:p>
    <w:p w14:paraId="5B35D23F" w14:textId="731890B0" w:rsidR="007561F6" w:rsidRDefault="007561F6" w:rsidP="007561F6">
      <w:r w:rsidRPr="003F3496">
        <w:t xml:space="preserve">Figure </w:t>
      </w:r>
      <w:r w:rsidR="003F3496" w:rsidRPr="003F3496">
        <w:t>S</w:t>
      </w:r>
      <w:r w:rsidR="003F3496" w:rsidRPr="00D52EF8">
        <w:t>5</w:t>
      </w:r>
      <w:r>
        <w:t>.</w:t>
      </w:r>
      <w:r w:rsidRPr="00EF51CE">
        <w:t xml:space="preserve"> </w:t>
      </w:r>
      <w:r>
        <w:t>A logarithmic decrease in m</w:t>
      </w:r>
      <w:r w:rsidRPr="00EF51CE">
        <w:t xml:space="preserve">olar extension rate </w:t>
      </w:r>
      <w:r>
        <w:t>as</w:t>
      </w:r>
      <w:r w:rsidRPr="00EF51CE">
        <w:t xml:space="preserve"> </w:t>
      </w:r>
      <w:r>
        <w:t xml:space="preserve">enamel </w:t>
      </w:r>
      <w:r w:rsidRPr="00EF51CE">
        <w:t>appositional angle</w:t>
      </w:r>
      <w:r>
        <w:t xml:space="preserve"> increases; gray shaded area represents 95 % confidence interval of the best fit line.</w:t>
      </w:r>
    </w:p>
    <w:p w14:paraId="3ACF909B" w14:textId="77777777" w:rsidR="007561F6" w:rsidRDefault="007561F6" w:rsidP="007561F6">
      <w:r>
        <w:br w:type="page"/>
      </w:r>
    </w:p>
    <w:p w14:paraId="47EB5C5B" w14:textId="77777777" w:rsidR="007561F6" w:rsidRPr="00F56651" w:rsidRDefault="007561F6" w:rsidP="007561F6">
      <w:pPr>
        <w:pStyle w:val="ListParagraph"/>
        <w:ind w:left="0"/>
        <w:rPr>
          <w:rFonts w:cs="Times New Roman"/>
        </w:rPr>
      </w:pPr>
      <w:r>
        <w:rPr>
          <w:rFonts w:cs="Times New Roman"/>
          <w:noProof/>
          <w:lang w:val="fr-FR" w:eastAsia="ko-KR"/>
        </w:rPr>
        <w:lastRenderedPageBreak/>
        <w:drawing>
          <wp:inline distT="0" distB="0" distL="0" distR="0" wp14:anchorId="1CB66B46" wp14:editId="1D3E1C45">
            <wp:extent cx="5943600" cy="4996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p C and I.emf"/>
                    <pic:cNvPicPr/>
                  </pic:nvPicPr>
                  <pic:blipFill>
                    <a:blip r:embed="rId14">
                      <a:extLst>
                        <a:ext uri="{28A0092B-C50C-407E-A947-70E740481C1C}">
                          <a14:useLocalDpi xmlns:a14="http://schemas.microsoft.com/office/drawing/2010/main" val="0"/>
                        </a:ext>
                      </a:extLst>
                    </a:blip>
                    <a:stretch>
                      <a:fillRect/>
                    </a:stretch>
                  </pic:blipFill>
                  <pic:spPr>
                    <a:xfrm>
                      <a:off x="0" y="0"/>
                      <a:ext cx="5943600" cy="4996815"/>
                    </a:xfrm>
                    <a:prstGeom prst="rect">
                      <a:avLst/>
                    </a:prstGeom>
                  </pic:spPr>
                </pic:pic>
              </a:graphicData>
            </a:graphic>
          </wp:inline>
        </w:drawing>
      </w:r>
    </w:p>
    <w:p w14:paraId="2B42E4EE" w14:textId="65D0CE30" w:rsidR="007561F6" w:rsidRPr="00B44F87" w:rsidRDefault="007561F6" w:rsidP="007561F6">
      <w:pPr>
        <w:rPr>
          <w:rFonts w:cs="Times New Roman"/>
        </w:rPr>
      </w:pPr>
      <w:r w:rsidRPr="003F3496">
        <w:t xml:space="preserve">Figure </w:t>
      </w:r>
      <w:r w:rsidR="003F3496" w:rsidRPr="003F3496">
        <w:t>S</w:t>
      </w:r>
      <w:r w:rsidR="003F3496" w:rsidRPr="00D52EF8">
        <w:t>6</w:t>
      </w:r>
      <w:r>
        <w:t xml:space="preserve">. Stable carbon isotope profiles of canine and incisors in four out of five specimens reported in </w:t>
      </w:r>
      <w:hyperlink w:anchor="_ENREF_6" w:tooltip="Frémondeau, 2012 #182" w:history="1">
        <w:r w:rsidR="000B3CB2">
          <w:fldChar w:fldCharType="begin"/>
        </w:r>
        <w:r w:rsidR="000B3CB2">
          <w:instrText xml:space="preserve"> ADDIN EN.CITE &lt;EndNote&gt;&lt;Cite AuthorYear="1"&gt;&lt;Author&gt;Frémondeau&lt;/Author&gt;&lt;Year&gt;2012&lt;/Year&gt;&lt;RecNum&gt;182&lt;/RecNum&gt;&lt;DisplayText&gt;Frémondeau et al. (2012)&lt;/DisplayText&gt;&lt;record&gt;&lt;rec-number&gt;182&lt;/rec-number&gt;&lt;foreign-keys&gt;&lt;key app="EN" db-id="tfdrzwraavd093eezvk5z5ehd2xvxse2wfar" timestamp="1472560847"&gt;182&lt;/key&gt;&lt;/foreign-keys&gt;&lt;ref-type name="Journal Article"&gt;17&lt;/ref-type&gt;&lt;contributors&gt;&lt;authors&gt;&lt;author&gt;Frémondeau, Delphine&lt;/author&gt;&lt;author&gt;Cucchi, Thomas&lt;/author&gt;&lt;author&gt;Casabianca, François&lt;/author&gt;&lt;author&gt;Ughetto-Monfrin, Joël&lt;/author&gt;&lt;author&gt;Horard-Herbin, M-P&lt;/author&gt;&lt;author&gt;Balasse, Marie&lt;/author&gt;&lt;/authors&gt;&lt;/contributors&gt;&lt;titles&gt;&lt;title&gt;&lt;style face="normal" font="default" size="100%"&gt;Seasonality of birth and diet of pigs from stable isotope analyses of tooth enamel (δ&lt;/style&gt;&lt;style face="superscript" font="default" size="100%"&gt;18&lt;/style&gt;&lt;style face="normal" font="default" size="100%"&gt;O, δ&lt;/style&gt;&lt;style face="superscript" font="default" size="100%"&gt;13&lt;/style&gt;&lt;style face="normal" font="default" size="100%"&gt;C): a modern reference data set from Corsica, France&lt;/style&gt;&lt;/title&gt;&lt;secondary-title&gt;Journal of Archaeological Science&lt;/secondary-title&gt;&lt;/titles&gt;&lt;periodical&gt;&lt;full-title&gt;Journal of Archaeological Science&lt;/full-title&gt;&lt;abbr-1&gt;J Archaeol Sci&lt;/abbr-1&gt;&lt;abbr-2&gt;J. Archaeol. Sci.&lt;/abbr-2&gt;&lt;/periodical&gt;&lt;pages&gt;2023-2035&lt;/pages&gt;&lt;volume&gt;39&lt;/volume&gt;&lt;number&gt;7&lt;/number&gt;&lt;dates&gt;&lt;year&gt;2012&lt;/year&gt;&lt;/dates&gt;&lt;isbn&gt;0305-4403&lt;/isbn&gt;&lt;urls&gt;&lt;/urls&gt;&lt;/record&gt;&lt;/Cite&gt;&lt;/EndNote&gt;</w:instrText>
        </w:r>
        <w:r w:rsidR="000B3CB2">
          <w:fldChar w:fldCharType="separate"/>
        </w:r>
        <w:r w:rsidR="000B3CB2">
          <w:rPr>
            <w:noProof/>
          </w:rPr>
          <w:t>Frémondeau et al. (2012)</w:t>
        </w:r>
        <w:r w:rsidR="000B3CB2">
          <w:fldChar w:fldCharType="end"/>
        </w:r>
      </w:hyperlink>
      <w:r>
        <w:t>; data points were aligned manually to ensure maximum overlap in the shapes of the curves; black</w:t>
      </w:r>
      <w:r w:rsidRPr="00F56651">
        <w:t xml:space="preserve"> squares</w:t>
      </w:r>
      <w:r>
        <w:t xml:space="preserve"> represent canine isotope data; open circles and diamonds represent isotope data from I1</w:t>
      </w:r>
      <w:r w:rsidRPr="00F56651">
        <w:t xml:space="preserve"> and I</w:t>
      </w:r>
      <w:r>
        <w:t xml:space="preserve">2, respectively.  </w:t>
      </w:r>
    </w:p>
    <w:p w14:paraId="40553815" w14:textId="77777777" w:rsidR="007561F6" w:rsidRDefault="007561F6" w:rsidP="007561F6">
      <w:pPr>
        <w:rPr>
          <w:rFonts w:cs="Times New Roman"/>
        </w:rPr>
      </w:pPr>
      <w:r w:rsidRPr="00F56651">
        <w:rPr>
          <w:rFonts w:cs="Times New Roman"/>
        </w:rPr>
        <w:br w:type="page"/>
      </w:r>
    </w:p>
    <w:p w14:paraId="20554B42" w14:textId="77777777" w:rsidR="007561F6" w:rsidRDefault="007561F6" w:rsidP="007561F6">
      <w:pPr>
        <w:rPr>
          <w:rFonts w:cs="Times New Roman"/>
        </w:rPr>
      </w:pPr>
      <w:r>
        <w:rPr>
          <w:rFonts w:cs="Times New Roman"/>
          <w:noProof/>
          <w:lang w:val="fr-FR" w:eastAsia="ko-KR"/>
        </w:rPr>
        <w:lastRenderedPageBreak/>
        <w:drawing>
          <wp:inline distT="0" distB="0" distL="0" distR="0" wp14:anchorId="72CF539D" wp14:editId="16C791FE">
            <wp:extent cx="4657007" cy="40455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pp combined regression.emf"/>
                    <pic:cNvPicPr/>
                  </pic:nvPicPr>
                  <pic:blipFill>
                    <a:blip r:embed="rId15">
                      <a:extLst>
                        <a:ext uri="{28A0092B-C50C-407E-A947-70E740481C1C}">
                          <a14:useLocalDpi xmlns:a14="http://schemas.microsoft.com/office/drawing/2010/main" val="0"/>
                        </a:ext>
                      </a:extLst>
                    </a:blip>
                    <a:stretch>
                      <a:fillRect/>
                    </a:stretch>
                  </pic:blipFill>
                  <pic:spPr>
                    <a:xfrm>
                      <a:off x="0" y="0"/>
                      <a:ext cx="4676551" cy="4062504"/>
                    </a:xfrm>
                    <a:prstGeom prst="rect">
                      <a:avLst/>
                    </a:prstGeom>
                  </pic:spPr>
                </pic:pic>
              </a:graphicData>
            </a:graphic>
          </wp:inline>
        </w:drawing>
      </w:r>
    </w:p>
    <w:p w14:paraId="0334DD5A" w14:textId="3FA998BA" w:rsidR="007561F6" w:rsidRPr="00F56651" w:rsidRDefault="007561F6" w:rsidP="007561F6">
      <w:pPr>
        <w:rPr>
          <w:rFonts w:cs="Times New Roman"/>
        </w:rPr>
      </w:pPr>
      <w:r w:rsidRPr="003F3496">
        <w:rPr>
          <w:rFonts w:cs="Times New Roman"/>
        </w:rPr>
        <w:t xml:space="preserve">Figure </w:t>
      </w:r>
      <w:r w:rsidR="003F3496" w:rsidRPr="003F3496">
        <w:rPr>
          <w:rFonts w:cs="Times New Roman"/>
        </w:rPr>
        <w:t>S</w:t>
      </w:r>
      <w:r w:rsidR="003F3496" w:rsidRPr="00D52EF8">
        <w:rPr>
          <w:rFonts w:cs="Times New Roman"/>
        </w:rPr>
        <w:t>7</w:t>
      </w:r>
      <w:r>
        <w:rPr>
          <w:rFonts w:cs="Times New Roman"/>
        </w:rPr>
        <w:t xml:space="preserve">. Linear regression combining both the Souron1 and NKU datasets; </w:t>
      </w:r>
      <w:r>
        <w:t>d</w:t>
      </w:r>
      <w:r w:rsidRPr="00F56651">
        <w:t>ark gray shade</w:t>
      </w:r>
      <w:r>
        <w:t>d area</w:t>
      </w:r>
      <w:r w:rsidRPr="00F56651">
        <w:t>: 9</w:t>
      </w:r>
      <w:r>
        <w:t xml:space="preserve">8 </w:t>
      </w:r>
      <w:r w:rsidRPr="00F56651">
        <w:t xml:space="preserve">% CI for </w:t>
      </w:r>
      <w:r>
        <w:t>the best fit line</w:t>
      </w:r>
      <w:r w:rsidRPr="00F56651">
        <w:t>; light gray shade</w:t>
      </w:r>
      <w:r>
        <w:t>d area</w:t>
      </w:r>
      <w:r w:rsidRPr="00F56651">
        <w:t>: 9</w:t>
      </w:r>
      <w:r>
        <w:t xml:space="preserve">8 </w:t>
      </w:r>
      <w:r w:rsidRPr="00F56651">
        <w:t xml:space="preserve">% prediction interval </w:t>
      </w:r>
      <w:r>
        <w:t>of the</w:t>
      </w:r>
      <w:r w:rsidRPr="00F56651">
        <w:t xml:space="preserve"> regression.</w:t>
      </w:r>
    </w:p>
    <w:p w14:paraId="1E1C65EB" w14:textId="77777777" w:rsidR="007561F6" w:rsidRDefault="007561F6" w:rsidP="007561F6">
      <w:pPr>
        <w:spacing w:after="160" w:line="259" w:lineRule="auto"/>
        <w:rPr>
          <w:rFonts w:cs="Times New Roman"/>
        </w:rPr>
      </w:pPr>
      <w:r>
        <w:rPr>
          <w:rFonts w:cs="Times New Roman"/>
        </w:rPr>
        <w:br w:type="page"/>
      </w:r>
    </w:p>
    <w:p w14:paraId="427E9FE5" w14:textId="77777777" w:rsidR="007561F6" w:rsidRDefault="007561F6" w:rsidP="007561F6">
      <w:pPr>
        <w:rPr>
          <w:rFonts w:cs="Times New Roman"/>
        </w:rPr>
      </w:pPr>
      <w:r>
        <w:rPr>
          <w:rFonts w:cs="Times New Roman"/>
          <w:noProof/>
          <w:lang w:val="fr-FR" w:eastAsia="ko-KR"/>
        </w:rPr>
        <w:lastRenderedPageBreak/>
        <w:drawing>
          <wp:inline distT="0" distB="0" distL="0" distR="0" wp14:anchorId="01387CBE" wp14:editId="6F1632BA">
            <wp:extent cx="5943600" cy="61004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 Reid.emf"/>
                    <pic:cNvPicPr/>
                  </pic:nvPicPr>
                  <pic:blipFill>
                    <a:blip r:embed="rId16">
                      <a:extLst>
                        <a:ext uri="{28A0092B-C50C-407E-A947-70E740481C1C}">
                          <a14:useLocalDpi xmlns:a14="http://schemas.microsoft.com/office/drawing/2010/main" val="0"/>
                        </a:ext>
                      </a:extLst>
                    </a:blip>
                    <a:stretch>
                      <a:fillRect/>
                    </a:stretch>
                  </pic:blipFill>
                  <pic:spPr>
                    <a:xfrm>
                      <a:off x="0" y="0"/>
                      <a:ext cx="5943600" cy="6100445"/>
                    </a:xfrm>
                    <a:prstGeom prst="rect">
                      <a:avLst/>
                    </a:prstGeom>
                  </pic:spPr>
                </pic:pic>
              </a:graphicData>
            </a:graphic>
          </wp:inline>
        </w:drawing>
      </w:r>
    </w:p>
    <w:p w14:paraId="0EC8F587" w14:textId="3444C52C" w:rsidR="007561F6" w:rsidRDefault="007561F6" w:rsidP="007561F6">
      <w:pPr>
        <w:rPr>
          <w:rFonts w:eastAsia="Times New Roman" w:cs="Times New Roman"/>
        </w:rPr>
      </w:pPr>
      <w:r w:rsidRPr="003F3496">
        <w:rPr>
          <w:rFonts w:cs="Times New Roman"/>
        </w:rPr>
        <w:t xml:space="preserve">Figure </w:t>
      </w:r>
      <w:r w:rsidR="003F3496" w:rsidRPr="003F3496">
        <w:rPr>
          <w:rFonts w:cs="Times New Roman"/>
        </w:rPr>
        <w:t>S</w:t>
      </w:r>
      <w:r w:rsidR="003F3496" w:rsidRPr="00D52EF8">
        <w:rPr>
          <w:rFonts w:cs="Times New Roman"/>
        </w:rPr>
        <w:t>8</w:t>
      </w:r>
      <w:r>
        <w:rPr>
          <w:rFonts w:cs="Times New Roman"/>
        </w:rPr>
        <w:t>. R</w:t>
      </w:r>
      <w:r w:rsidRPr="004826A7">
        <w:rPr>
          <w:rFonts w:cs="Times New Roman"/>
        </w:rPr>
        <w:t>econstructed timelines of M3</w:t>
      </w:r>
      <w:r w:rsidRPr="00101D34">
        <w:rPr>
          <w:rFonts w:cs="Times New Roman"/>
        </w:rPr>
        <w:t xml:space="preserve"> </w:t>
      </w:r>
      <w:r>
        <w:rPr>
          <w:rFonts w:cs="Times New Roman"/>
        </w:rPr>
        <w:t xml:space="preserve">based on intra-tooth sampling data published in </w:t>
      </w:r>
      <w:hyperlink w:anchor="_ENREF_17" w:tooltip="Reid, 2019 #755" w:history="1">
        <w:r w:rsidR="000B3CB2">
          <w:rPr>
            <w:rFonts w:cs="Times New Roman"/>
          </w:rPr>
          <w:fldChar w:fldCharType="begin"/>
        </w:r>
        <w:r w:rsidR="000B3CB2">
          <w:rPr>
            <w:rFonts w:cs="Times New Roman"/>
          </w:rPr>
          <w:instrText xml:space="preserve"> ADDIN EN.CITE &lt;EndNote&gt;&lt;Cite AuthorYear="1"&gt;&lt;Author&gt;Reid&lt;/Author&gt;&lt;Year&gt;2019&lt;/Year&gt;&lt;RecNum&gt;755&lt;/RecNum&gt;&lt;DisplayText&gt;Reid et al. (2019)&lt;/DisplayText&gt;&lt;record&gt;&lt;rec-number&gt;755&lt;/rec-number&gt;&lt;foreign-keys&gt;&lt;key app="EN" db-id="tfdrzwraavd093eezvk5z5ehd2xvxse2wfar" timestamp="1569110173"&gt;755&lt;/key&gt;&lt;/foreign-keys&gt;&lt;ref-type name="Journal Article"&gt;17&lt;/ref-type&gt;&lt;contributors&gt;&lt;authors&gt;&lt;author&gt;Reid, Rachel E. B.&lt;/author&gt;&lt;author&gt;Jones, Mica&lt;/author&gt;&lt;author&gt;Brandt, Steven&lt;/author&gt;&lt;author&gt;Bunn, Henry&lt;/author&gt;&lt;author&gt;Marshall, Fiona&lt;/author&gt;&lt;/authors&gt;&lt;/contributors&gt;&lt;titles&gt;&lt;title&gt;Oxygen isotope analyses of ungulate tooth enamel confirm low seasonality of rainfall contributed to the African Humid Period in Somalia&lt;/title&gt;&lt;secondary-title&gt;Palaeogeography, Palaeoclimatology, Palaeoecology&lt;/secondary-title&gt;&lt;/titles&gt;&lt;periodical&gt;&lt;full-title&gt;Palaeogeography, Palaeoclimatology, Palaeoecology&lt;/full-title&gt;&lt;abbr-1&gt;Palaeogeogr Palaeoclimatol Palaeoecol&lt;/abbr-1&gt;&lt;abbr-2&gt;Palaeogeogr. Palaeoclimatol. Palaeoecol.&lt;/abbr-2&gt;&lt;/periodical&gt;&lt;pages&gt;109272&lt;/pages&gt;&lt;volume&gt;534&lt;/volume&gt;&lt;keywords&gt;&lt;keyword&gt;Carbon isotopes&lt;/keyword&gt;&lt;keyword&gt;Serial-sampling&lt;/keyword&gt;&lt;keyword&gt;Terrestrial paleoclimate&lt;/keyword&gt;&lt;keyword&gt;Eastern Africa&lt;/keyword&gt;&lt;keyword&gt;Dik-dik&lt;/keyword&gt;&lt;keyword&gt;Warthog&lt;/keyword&gt;&lt;/keywords&gt;&lt;dates&gt;&lt;year&gt;2019&lt;/year&gt;&lt;pub-dates&gt;&lt;date&gt;2019/11/15/&lt;/date&gt;&lt;/pub-dates&gt;&lt;/dates&gt;&lt;isbn&gt;0031-0182&lt;/isbn&gt;&lt;urls&gt;&lt;related-urls&gt;&lt;url&gt;http://www.sciencedirect.com/science/article/pii/S0031018219302275&lt;/url&gt;&lt;/related-urls&gt;&lt;/urls&gt;&lt;electronic-resource-num&gt;https://doi.org/10.1016/j.palaeo.2019.109272&lt;/electronic-resource-num&gt;&lt;/record&gt;&lt;/Cite&gt;&lt;/EndNote&gt;</w:instrText>
        </w:r>
        <w:r w:rsidR="000B3CB2">
          <w:rPr>
            <w:rFonts w:cs="Times New Roman"/>
          </w:rPr>
          <w:fldChar w:fldCharType="separate"/>
        </w:r>
        <w:r w:rsidR="000B3CB2">
          <w:rPr>
            <w:rFonts w:cs="Times New Roman"/>
            <w:noProof/>
          </w:rPr>
          <w:t>Reid et al. (2019)</w:t>
        </w:r>
        <w:r w:rsidR="000B3CB2">
          <w:rPr>
            <w:rFonts w:cs="Times New Roman"/>
          </w:rPr>
          <w:fldChar w:fldCharType="end"/>
        </w:r>
      </w:hyperlink>
      <w:r>
        <w:rPr>
          <w:rFonts w:cs="Times New Roman"/>
        </w:rPr>
        <w:t xml:space="preserve">; </w:t>
      </w:r>
      <w:r w:rsidRPr="004826A7">
        <w:rPr>
          <w:rFonts w:cs="Times New Roman"/>
        </w:rPr>
        <w:t xml:space="preserve">Rec. = reconstructed; </w:t>
      </w:r>
      <w:r>
        <w:rPr>
          <w:rFonts w:cs="Times New Roman"/>
        </w:rPr>
        <w:t xml:space="preserve">CI = confidence interval; </w:t>
      </w:r>
      <w:r w:rsidRPr="004826A7">
        <w:rPr>
          <w:rFonts w:eastAsia="Times New Roman" w:cs="Times New Roman"/>
        </w:rPr>
        <w:t>V</w:t>
      </w:r>
      <w:r>
        <w:rPr>
          <w:rFonts w:eastAsia="Times New Roman" w:cs="Times New Roman"/>
        </w:rPr>
        <w:t>-</w:t>
      </w:r>
      <w:r w:rsidRPr="004826A7">
        <w:rPr>
          <w:rFonts w:eastAsia="Times New Roman" w:cs="Times New Roman"/>
        </w:rPr>
        <w:t>PDB = Vienna Pee Dee Belemnite</w:t>
      </w:r>
      <w:r>
        <w:rPr>
          <w:rFonts w:eastAsia="Times New Roman" w:cs="Times New Roman"/>
        </w:rPr>
        <w:t>; D = dry season; R= rainy season</w:t>
      </w:r>
      <w:r w:rsidRPr="004826A7">
        <w:rPr>
          <w:rFonts w:eastAsia="Times New Roman" w:cs="Times New Roman"/>
        </w:rPr>
        <w:t>.</w:t>
      </w:r>
    </w:p>
    <w:p w14:paraId="4E7FEDA5" w14:textId="77777777" w:rsidR="007561F6" w:rsidRDefault="007561F6" w:rsidP="007561F6">
      <w:pPr>
        <w:spacing w:after="160" w:line="259" w:lineRule="auto"/>
        <w:rPr>
          <w:rFonts w:eastAsia="Times New Roman" w:cs="Times New Roman"/>
        </w:rPr>
      </w:pPr>
      <w:r>
        <w:rPr>
          <w:rFonts w:eastAsia="Times New Roman" w:cs="Times New Roman"/>
        </w:rPr>
        <w:br w:type="page"/>
      </w:r>
    </w:p>
    <w:p w14:paraId="40F871C4" w14:textId="340159EC" w:rsidR="0032615F" w:rsidRDefault="0032615F" w:rsidP="0032615F">
      <w:pPr>
        <w:jc w:val="center"/>
      </w:pPr>
      <w:r>
        <w:lastRenderedPageBreak/>
        <w:t>Supplementary References</w:t>
      </w:r>
    </w:p>
    <w:p w14:paraId="1D70A9BE" w14:textId="77777777" w:rsidR="00AD76B5" w:rsidRDefault="00AD76B5" w:rsidP="00393AC9"/>
    <w:p w14:paraId="1A2E5A62" w14:textId="77777777" w:rsidR="000B3CB2" w:rsidRDefault="000B3CB2" w:rsidP="00393AC9"/>
    <w:p w14:paraId="26A0ADA4" w14:textId="77777777" w:rsidR="000B3CB2" w:rsidRPr="000B3CB2" w:rsidRDefault="000B3CB2" w:rsidP="000B3CB2">
      <w:pPr>
        <w:pStyle w:val="EndNoteBibliography"/>
        <w:ind w:left="720" w:hanging="720"/>
      </w:pPr>
      <w:r>
        <w:fldChar w:fldCharType="begin"/>
      </w:r>
      <w:r>
        <w:instrText xml:space="preserve"> ADDIN EN.REFLIST </w:instrText>
      </w:r>
      <w:r>
        <w:fldChar w:fldCharType="separate"/>
      </w:r>
      <w:bookmarkStart w:id="12" w:name="_ENREF_1"/>
      <w:r w:rsidRPr="000B3CB2">
        <w:t xml:space="preserve">Bromage, T.G., Goldman, H.M., McFarlin, S.C., Perez Ochoa, A., Boyde, A., 2009. Confocal scanning optical microscopy of a 3-million-year-old </w:t>
      </w:r>
      <w:r w:rsidRPr="000B3CB2">
        <w:rPr>
          <w:i/>
        </w:rPr>
        <w:t>Australopithecus afarensis</w:t>
      </w:r>
      <w:r w:rsidRPr="000B3CB2">
        <w:t xml:space="preserve"> femur. Scanning, 31(1): 1-10.</w:t>
      </w:r>
      <w:bookmarkEnd w:id="12"/>
    </w:p>
    <w:p w14:paraId="1EE11167" w14:textId="77777777" w:rsidR="000B3CB2" w:rsidRPr="000B3CB2" w:rsidRDefault="000B3CB2" w:rsidP="000B3CB2">
      <w:pPr>
        <w:pStyle w:val="EndNoteBibliography"/>
        <w:ind w:left="720" w:hanging="720"/>
      </w:pPr>
      <w:bookmarkStart w:id="13" w:name="_ENREF_2"/>
      <w:r w:rsidRPr="000B3CB2">
        <w:t>Caylor, K., Gitonga, J., Martins, D., 2019. Mpala Research Centre Meteorological and Hydrological Dataset. Mpala Research Centre, Laikipia, Kenya.</w:t>
      </w:r>
      <w:bookmarkEnd w:id="13"/>
    </w:p>
    <w:p w14:paraId="0C3EFCBA" w14:textId="77777777" w:rsidR="000B3CB2" w:rsidRPr="000B3CB2" w:rsidRDefault="000B3CB2" w:rsidP="000B3CB2">
      <w:pPr>
        <w:pStyle w:val="EndNoteBibliography"/>
        <w:ind w:left="720" w:hanging="720"/>
      </w:pPr>
      <w:bookmarkStart w:id="14" w:name="_ENREF_3"/>
      <w:r w:rsidRPr="000B3CB2">
        <w:t>Cerling, T.E., Harris, J.M., 1999. Carbon isotope fractionation between diet and bioapatite in ungulate mammals and implications for ecological and paleoecological studies. Oecologia, 120(3): 347-363.</w:t>
      </w:r>
      <w:bookmarkEnd w:id="14"/>
    </w:p>
    <w:p w14:paraId="237C3A3C" w14:textId="77777777" w:rsidR="000B3CB2" w:rsidRPr="000B3CB2" w:rsidRDefault="000B3CB2" w:rsidP="000B3CB2">
      <w:pPr>
        <w:pStyle w:val="EndNoteBibliography"/>
        <w:ind w:left="720" w:hanging="720"/>
      </w:pPr>
      <w:bookmarkStart w:id="15" w:name="_ENREF_4"/>
      <w:r w:rsidRPr="000B3CB2">
        <w:t>Craig, H., 1954. Carbon 13 in Plants and the Relationships between Carbon 13 and Carbon 14 Variations in Nature. J. Geol., 62(2): 115-149.</w:t>
      </w:r>
      <w:bookmarkEnd w:id="15"/>
    </w:p>
    <w:p w14:paraId="4AF9DE31" w14:textId="7E8FA1FE" w:rsidR="000B3CB2" w:rsidRPr="000B3CB2" w:rsidRDefault="000B3CB2" w:rsidP="000B3CB2">
      <w:pPr>
        <w:pStyle w:val="EndNoteBibliography"/>
        <w:ind w:left="720" w:hanging="720"/>
      </w:pPr>
      <w:bookmarkStart w:id="16" w:name="_ENREF_5"/>
      <w:r w:rsidRPr="000B3CB2">
        <w:t xml:space="preserve">Dean, C., 2009. Extension rates and growth in tooth height of modern human and fossil hominin canines and molars. </w:t>
      </w:r>
      <w:r w:rsidRPr="00D97BEC">
        <w:t xml:space="preserve">In: </w:t>
      </w:r>
      <w:r w:rsidR="00211039">
        <w:t>Koppe</w:t>
      </w:r>
      <w:r w:rsidRPr="00D97BEC">
        <w:t xml:space="preserve">, </w:t>
      </w:r>
      <w:r w:rsidR="00211039">
        <w:t>T</w:t>
      </w:r>
      <w:r w:rsidRPr="00D97BEC">
        <w:t xml:space="preserve">., </w:t>
      </w:r>
      <w:r w:rsidR="00211039">
        <w:t xml:space="preserve">Mayer, </w:t>
      </w:r>
      <w:r w:rsidRPr="00D97BEC">
        <w:t>G</w:t>
      </w:r>
      <w:r w:rsidR="00211039">
        <w:t>.</w:t>
      </w:r>
      <w:r w:rsidRPr="00D97BEC">
        <w:t xml:space="preserve">, </w:t>
      </w:r>
      <w:r w:rsidR="00211039">
        <w:t xml:space="preserve">Alt, </w:t>
      </w:r>
      <w:r w:rsidRPr="00D97BEC">
        <w:t>KW</w:t>
      </w:r>
      <w:r w:rsidR="00211039">
        <w:t>.</w:t>
      </w:r>
      <w:r w:rsidRPr="00D97BEC">
        <w:t>,</w:t>
      </w:r>
      <w:r w:rsidRPr="000B3CB2">
        <w:t xml:space="preserve"> (Eds.), Comparative dental morphology. Karger Publishers, Basel, pp. 68-73.</w:t>
      </w:r>
      <w:bookmarkEnd w:id="16"/>
    </w:p>
    <w:p w14:paraId="76401265" w14:textId="77777777" w:rsidR="000B3CB2" w:rsidRPr="000B3CB2" w:rsidRDefault="000B3CB2" w:rsidP="000B3CB2">
      <w:pPr>
        <w:pStyle w:val="EndNoteBibliography"/>
        <w:ind w:left="720" w:hanging="720"/>
      </w:pPr>
      <w:bookmarkStart w:id="17" w:name="_ENREF_6"/>
      <w:r w:rsidRPr="000B3CB2">
        <w:t>Frémondeau, D., Cucchi, T., Casabianca, F., Ughetto-Monfrin, J., Horard-Herbin, M.-P., Balasse, M., 2012. Seasonality of birth and diet of pigs from stable isotope analyses of tooth enamel (δ</w:t>
      </w:r>
      <w:r w:rsidRPr="000B3CB2">
        <w:rPr>
          <w:vertAlign w:val="superscript"/>
        </w:rPr>
        <w:t>18</w:t>
      </w:r>
      <w:r w:rsidRPr="000B3CB2">
        <w:t>O, δ</w:t>
      </w:r>
      <w:r w:rsidRPr="000B3CB2">
        <w:rPr>
          <w:vertAlign w:val="superscript"/>
        </w:rPr>
        <w:t>13</w:t>
      </w:r>
      <w:r w:rsidRPr="000B3CB2">
        <w:t>C): a modern reference data set from Corsica, France. J. Archaeol. Sci., 39(7): 2023-2035.</w:t>
      </w:r>
      <w:bookmarkEnd w:id="17"/>
    </w:p>
    <w:p w14:paraId="02CC5292" w14:textId="77777777" w:rsidR="000B3CB2" w:rsidRPr="000B3CB2" w:rsidRDefault="000B3CB2" w:rsidP="000B3CB2">
      <w:pPr>
        <w:pStyle w:val="EndNoteBibliography"/>
        <w:ind w:left="720" w:hanging="720"/>
      </w:pPr>
      <w:bookmarkStart w:id="18" w:name="_ENREF_7"/>
      <w:r w:rsidRPr="000B3CB2">
        <w:t>Hoppe, K.A., Stover, S.M., Pascoe, J.R., Amundson, R., 2004. Tooth enamel biomineralization in extant horses: implications for isotopic microsampling. Palaeogeogr. Palaeoclimatol. Palaeoecol., 206(3): 355-365.</w:t>
      </w:r>
      <w:bookmarkEnd w:id="18"/>
    </w:p>
    <w:p w14:paraId="0F8E31B7" w14:textId="77777777" w:rsidR="000B3CB2" w:rsidRPr="000B3CB2" w:rsidRDefault="000B3CB2" w:rsidP="000B3CB2">
      <w:pPr>
        <w:pStyle w:val="EndNoteBibliography"/>
        <w:ind w:left="720" w:hanging="720"/>
      </w:pPr>
      <w:bookmarkStart w:id="19" w:name="_ENREF_8"/>
      <w:r w:rsidRPr="000B3CB2">
        <w:lastRenderedPageBreak/>
        <w:t>Kierdorf, H., Breuer, F., Richards, A., Kierdorf, U., 2014. Characterization of enamel incremental markings and crown growth parameters in minipig molars. Anat. Rec., 297(10): 1935-1949.</w:t>
      </w:r>
      <w:bookmarkEnd w:id="19"/>
    </w:p>
    <w:p w14:paraId="2C4D2EE5" w14:textId="77777777" w:rsidR="000B3CB2" w:rsidRPr="000B3CB2" w:rsidRDefault="000B3CB2" w:rsidP="000B3CB2">
      <w:pPr>
        <w:pStyle w:val="EndNoteBibliography"/>
        <w:ind w:left="720" w:hanging="720"/>
      </w:pPr>
      <w:bookmarkStart w:id="20" w:name="_ENREF_9"/>
      <w:r w:rsidRPr="000B3CB2">
        <w:t>Kierdorf, H., Breuer, F., Witzel, C., Kierdorf, U., 2019. Pig enamel revisited – Incremental markings in enamel of wild boars and domestic pigs. J. Struct. Biol., 205(1): 48-59.</w:t>
      </w:r>
      <w:bookmarkEnd w:id="20"/>
    </w:p>
    <w:p w14:paraId="10A39A37" w14:textId="77777777" w:rsidR="000B3CB2" w:rsidRPr="000B3CB2" w:rsidRDefault="000B3CB2" w:rsidP="000B3CB2">
      <w:pPr>
        <w:pStyle w:val="EndNoteBibliography"/>
        <w:ind w:left="720" w:hanging="720"/>
      </w:pPr>
      <w:bookmarkStart w:id="21" w:name="_ENREF_10"/>
      <w:r w:rsidRPr="000B3CB2">
        <w:t>McGrath, K., Reid, D.J., Guatelli-Steinberg, D., Arbenz-Smith, K., El Zaatari, S., Fatica, L.M., Kralick, A.E., Cranfield, M.R., Stoinski, T.S., Bromage, T.G., Mudakikwa, A., McFarlin, S.C., 2019. Faster growth corresponds with shallower linear hypoplastic defects in great ape canines. J. Hum. Evol., 137: 102691.</w:t>
      </w:r>
      <w:bookmarkEnd w:id="21"/>
    </w:p>
    <w:p w14:paraId="4E88BB73" w14:textId="77777777" w:rsidR="000B3CB2" w:rsidRPr="000B3CB2" w:rsidRDefault="000B3CB2" w:rsidP="000B3CB2">
      <w:pPr>
        <w:pStyle w:val="EndNoteBibliography"/>
        <w:ind w:left="720" w:hanging="720"/>
      </w:pPr>
      <w:bookmarkStart w:id="22" w:name="_ENREF_11"/>
      <w:r w:rsidRPr="000B3CB2">
        <w:t xml:space="preserve">Nacarino-Meneses, C., Jordana, X., Orlandi-Oliveras, G., Köhler, M., 2017. Reconstructing molar growth from enamel histology in extant and extinct </w:t>
      </w:r>
      <w:r w:rsidRPr="000B3CB2">
        <w:rPr>
          <w:i/>
        </w:rPr>
        <w:t>Equus</w:t>
      </w:r>
      <w:r w:rsidRPr="000B3CB2">
        <w:t>. Sci. Rep., 7(1): 15965.</w:t>
      </w:r>
      <w:bookmarkEnd w:id="22"/>
    </w:p>
    <w:p w14:paraId="795B3E23" w14:textId="77777777" w:rsidR="000B3CB2" w:rsidRPr="000B3CB2" w:rsidRDefault="000B3CB2" w:rsidP="000B3CB2">
      <w:pPr>
        <w:pStyle w:val="EndNoteBibliography"/>
        <w:ind w:left="720" w:hanging="720"/>
      </w:pPr>
      <w:bookmarkStart w:id="23" w:name="_ENREF_12"/>
      <w:r w:rsidRPr="000B3CB2">
        <w:t>Ngetich, K.F., Mucheru-Muna, M., Mugwe, J.N., Shisanya, C.A., Diels, J., Mugendi, D.N., 2014. Length of growing season, rainfall temporal distribution, onset and cessation dates in the Kenyan highlands. Agric. For. Meteorol., 188: 24-32.</w:t>
      </w:r>
      <w:bookmarkEnd w:id="23"/>
    </w:p>
    <w:p w14:paraId="6533520B" w14:textId="77777777" w:rsidR="000B3CB2" w:rsidRPr="000B3CB2" w:rsidRDefault="000B3CB2" w:rsidP="000B3CB2">
      <w:pPr>
        <w:pStyle w:val="EndNoteBibliography"/>
        <w:ind w:left="720" w:hanging="720"/>
      </w:pPr>
      <w:bookmarkStart w:id="24" w:name="_ENREF_13"/>
      <w:r w:rsidRPr="000B3CB2">
        <w:t>Passey, B.H., Cerling, T.E., 2002. Tooth enamel mineralization in ungulates: implications for recovering a primary isotopic time-series. Geochim. Cosmochim. Acta, 66(18): 3225-3234.</w:t>
      </w:r>
      <w:bookmarkEnd w:id="24"/>
    </w:p>
    <w:p w14:paraId="2E2F0880" w14:textId="77777777" w:rsidR="000B3CB2" w:rsidRPr="000B3CB2" w:rsidRDefault="000B3CB2" w:rsidP="000B3CB2">
      <w:pPr>
        <w:pStyle w:val="EndNoteBibliography"/>
        <w:ind w:left="720" w:hanging="720"/>
      </w:pPr>
      <w:bookmarkStart w:id="25" w:name="_ENREF_14"/>
      <w:r w:rsidRPr="000B3CB2">
        <w:t>Passey, B.H., Cerling, T.E., Levin, N.E., 2007. Temperature dependence of oxygen isotope acid fractionation for modern and fossil tooth enamels. Rapid Commun. Mass Spectrom., 21(17): 2853-2859.</w:t>
      </w:r>
      <w:bookmarkEnd w:id="25"/>
    </w:p>
    <w:p w14:paraId="7D3C6619" w14:textId="77777777" w:rsidR="000B3CB2" w:rsidRPr="000B3CB2" w:rsidRDefault="000B3CB2" w:rsidP="000B3CB2">
      <w:pPr>
        <w:pStyle w:val="EndNoteBibliography"/>
        <w:ind w:left="720" w:hanging="720"/>
      </w:pPr>
      <w:bookmarkStart w:id="26" w:name="_ENREF_15"/>
      <w:r w:rsidRPr="000B3CB2">
        <w:t>Passey, B.H., Cerling, T.E., Schuster, G.T., Robinson, T.F., Roeder, B.L., Krueger, S.K., 2005a. Inverse methods for estimating primary input signals from time-averaged isotope profiles. Geochim. Cosmochim. Acta, 69(16): 4101-4116.</w:t>
      </w:r>
      <w:bookmarkEnd w:id="26"/>
    </w:p>
    <w:p w14:paraId="4FD5BC9E" w14:textId="77777777" w:rsidR="000B3CB2" w:rsidRPr="000B3CB2" w:rsidRDefault="000B3CB2" w:rsidP="000B3CB2">
      <w:pPr>
        <w:pStyle w:val="EndNoteBibliography"/>
        <w:ind w:left="720" w:hanging="720"/>
      </w:pPr>
      <w:bookmarkStart w:id="27" w:name="_ENREF_16"/>
      <w:r w:rsidRPr="000B3CB2">
        <w:lastRenderedPageBreak/>
        <w:t>Passey, B.H., Robinson, T.F., Ayliffe, L.K., Cerling, T.E., Sponheimer, M., Dearing, M.D., Roeder, B.L., Ehleringer, J.R., 2005b. Carbon isotope fractionation between diet, breath CO</w:t>
      </w:r>
      <w:r w:rsidRPr="000B3CB2">
        <w:rPr>
          <w:vertAlign w:val="subscript"/>
        </w:rPr>
        <w:t>2</w:t>
      </w:r>
      <w:r w:rsidRPr="000B3CB2">
        <w:t>, and bioapatite in different mammals. J. Archaeol. Sci., 32(10): 1459-1470.</w:t>
      </w:r>
      <w:bookmarkEnd w:id="27"/>
    </w:p>
    <w:p w14:paraId="48CF2653" w14:textId="77777777" w:rsidR="000B3CB2" w:rsidRPr="000B3CB2" w:rsidRDefault="000B3CB2" w:rsidP="000B3CB2">
      <w:pPr>
        <w:pStyle w:val="EndNoteBibliography"/>
        <w:ind w:left="720" w:hanging="720"/>
      </w:pPr>
      <w:bookmarkStart w:id="28" w:name="_ENREF_17"/>
      <w:r w:rsidRPr="000B3CB2">
        <w:t>Reid, R.E.B., Jones, M., Brandt, S., Bunn, H., Marshall, F., 2019. Oxygen isotope analyses of ungulate tooth enamel confirm low seasonality of rainfall contributed to the African Humid Period in Somalia. Palaeogeogr. Palaeoclimatol. Palaeoecol., 534: 109272.</w:t>
      </w:r>
      <w:bookmarkEnd w:id="28"/>
    </w:p>
    <w:p w14:paraId="2AB6FCBF" w14:textId="77777777" w:rsidR="000B3CB2" w:rsidRPr="000B3CB2" w:rsidRDefault="000B3CB2" w:rsidP="000B3CB2">
      <w:pPr>
        <w:pStyle w:val="EndNoteBibliography"/>
        <w:ind w:left="720" w:hanging="720"/>
      </w:pPr>
      <w:bookmarkStart w:id="29" w:name="_ENREF_18"/>
      <w:r w:rsidRPr="000B3CB2">
        <w:t>Sahara, N., 2014. Development of coronal cementum in hypsodont horse cheek teeth. Anat. Rec., 297(4): 716-730.</w:t>
      </w:r>
      <w:bookmarkEnd w:id="29"/>
    </w:p>
    <w:p w14:paraId="499E91F2" w14:textId="77777777" w:rsidR="000B3CB2" w:rsidRPr="000B3CB2" w:rsidRDefault="000B3CB2" w:rsidP="000B3CB2">
      <w:pPr>
        <w:pStyle w:val="EndNoteBibliography"/>
        <w:ind w:left="720" w:hanging="720"/>
      </w:pPr>
      <w:bookmarkStart w:id="30" w:name="_ENREF_19"/>
      <w:r w:rsidRPr="000B3CB2">
        <w:t>Swart, P.K., Burns, S.J., Leder, J.J., 1991. Fractionation of the stable isotopes of oxygen and carbon in carbon dioxide during the reaction of calcite with phosphoric acid as a function of temperature and technique. Chemical Geology: Isotope Geoscience section, 86(2): 89-96.</w:t>
      </w:r>
      <w:bookmarkEnd w:id="30"/>
    </w:p>
    <w:p w14:paraId="586EB918" w14:textId="299416A3" w:rsidR="000B3CB2" w:rsidRPr="000B3CB2" w:rsidRDefault="000B3CB2" w:rsidP="000B3CB2">
      <w:pPr>
        <w:pStyle w:val="EndNoteBibliography"/>
        <w:ind w:left="720" w:hanging="720"/>
      </w:pPr>
      <w:bookmarkStart w:id="31" w:name="_ENREF_20"/>
      <w:r w:rsidRPr="000B3CB2">
        <w:t xml:space="preserve">Uno, K.T., Fisher, D., Wittemyer, G., Douglas-Hamilton, I., Carpenter, N., Omondi, P., Cerling, T.E., </w:t>
      </w:r>
      <w:r w:rsidR="001B1607" w:rsidRPr="00CE5574">
        <w:t>2020</w:t>
      </w:r>
      <w:r w:rsidRPr="00CE5574">
        <w:t>.</w:t>
      </w:r>
      <w:r w:rsidRPr="000B3CB2">
        <w:t xml:space="preserve"> Forward and inverse methods for extracting climate and diet information from stable isotope profiles in proboscidean molars. Quat. Int.</w:t>
      </w:r>
      <w:bookmarkEnd w:id="31"/>
      <w:r w:rsidR="00211039">
        <w:t xml:space="preserve"> </w:t>
      </w:r>
      <w:r w:rsidR="00211039" w:rsidRPr="00211039">
        <w:t>https://doi.org/10.1016/j.quaint.2020.06.030</w:t>
      </w:r>
    </w:p>
    <w:p w14:paraId="7C62CE8B" w14:textId="77777777" w:rsidR="000B3CB2" w:rsidRPr="000B3CB2" w:rsidRDefault="000B3CB2" w:rsidP="000B3CB2">
      <w:pPr>
        <w:pStyle w:val="EndNoteBibliography"/>
        <w:ind w:left="720" w:hanging="720"/>
      </w:pPr>
      <w:bookmarkStart w:id="32" w:name="_ENREF_21"/>
      <w:r w:rsidRPr="000B3CB2">
        <w:t>Warinner, C., Tuross, N., 2010. Brief communication: Tissue isotopic enrichment associated with growth depression in a pig: Implications for archaeology and ecology. Am. J. Phys. Anthropol., 141(3): 486-493.</w:t>
      </w:r>
      <w:bookmarkEnd w:id="32"/>
    </w:p>
    <w:p w14:paraId="50CB5243" w14:textId="77777777" w:rsidR="000B3CB2" w:rsidRPr="000B3CB2" w:rsidRDefault="000B3CB2" w:rsidP="000B3CB2">
      <w:pPr>
        <w:pStyle w:val="EndNoteBibliography"/>
        <w:ind w:left="720" w:hanging="720"/>
      </w:pPr>
      <w:bookmarkStart w:id="33" w:name="_ENREF_22"/>
      <w:r w:rsidRPr="000B3CB2">
        <w:t>Zazzo, A., Bendrey, R., Vella, D., Moloney, A.P., Monahan, F.J., Schmidt, O., 2012. A refined sampling strategy for intra-tooth stable isotope analysis of mammalian enamel. Geochim. Cosmochim. Acta, 84: 1-13.</w:t>
      </w:r>
      <w:bookmarkEnd w:id="33"/>
    </w:p>
    <w:p w14:paraId="28B8FB00" w14:textId="47883E50" w:rsidR="000406AC" w:rsidRPr="004826A7" w:rsidRDefault="000B3CB2" w:rsidP="00393AC9">
      <w:r>
        <w:fldChar w:fldCharType="end"/>
      </w:r>
    </w:p>
    <w:sectPr w:rsidR="000406AC" w:rsidRPr="004826A7" w:rsidSect="00B64FC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7E7C" w14:textId="77777777" w:rsidR="00FC66B9" w:rsidRDefault="00FC66B9" w:rsidP="0078176D">
      <w:pPr>
        <w:spacing w:line="240" w:lineRule="auto"/>
      </w:pPr>
      <w:r>
        <w:separator/>
      </w:r>
    </w:p>
  </w:endnote>
  <w:endnote w:type="continuationSeparator" w:id="0">
    <w:p w14:paraId="1509B410" w14:textId="77777777" w:rsidR="00FC66B9" w:rsidRDefault="00FC66B9" w:rsidP="0078176D">
      <w:pPr>
        <w:spacing w:line="240" w:lineRule="auto"/>
      </w:pPr>
      <w:r>
        <w:continuationSeparator/>
      </w:r>
    </w:p>
  </w:endnote>
  <w:endnote w:type="continuationNotice" w:id="1">
    <w:p w14:paraId="266501B9" w14:textId="77777777" w:rsidR="00FC66B9" w:rsidRDefault="00FC66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81730"/>
      <w:docPartObj>
        <w:docPartGallery w:val="Page Numbers (Bottom of Page)"/>
        <w:docPartUnique/>
      </w:docPartObj>
    </w:sdtPr>
    <w:sdtEndPr>
      <w:rPr>
        <w:noProof/>
      </w:rPr>
    </w:sdtEndPr>
    <w:sdtContent>
      <w:p w14:paraId="15CD5006" w14:textId="2EE30396" w:rsidR="00F87515" w:rsidRDefault="00F87515">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0083AB62" w14:textId="77777777" w:rsidR="00F87515" w:rsidRDefault="00F8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29D6" w14:textId="77777777" w:rsidR="00FC66B9" w:rsidRDefault="00FC66B9" w:rsidP="0078176D">
      <w:pPr>
        <w:spacing w:line="240" w:lineRule="auto"/>
      </w:pPr>
      <w:r>
        <w:separator/>
      </w:r>
    </w:p>
  </w:footnote>
  <w:footnote w:type="continuationSeparator" w:id="0">
    <w:p w14:paraId="56B6B17E" w14:textId="77777777" w:rsidR="00FC66B9" w:rsidRDefault="00FC66B9" w:rsidP="0078176D">
      <w:pPr>
        <w:spacing w:line="240" w:lineRule="auto"/>
      </w:pPr>
      <w:r>
        <w:continuationSeparator/>
      </w:r>
    </w:p>
  </w:footnote>
  <w:footnote w:type="continuationNotice" w:id="1">
    <w:p w14:paraId="316B769F" w14:textId="77777777" w:rsidR="00FC66B9" w:rsidRDefault="00FC66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0729" w14:textId="77777777" w:rsidR="00F87515" w:rsidRDefault="00F8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4DEE"/>
    <w:multiLevelType w:val="hybridMultilevel"/>
    <w:tmpl w:val="FE4E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207"/>
    <w:multiLevelType w:val="hybridMultilevel"/>
    <w:tmpl w:val="68F62C40"/>
    <w:lvl w:ilvl="0" w:tplc="31086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D6A05"/>
    <w:multiLevelType w:val="hybridMultilevel"/>
    <w:tmpl w:val="CFACB71E"/>
    <w:lvl w:ilvl="0" w:tplc="DC729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158F0"/>
    <w:multiLevelType w:val="hybridMultilevel"/>
    <w:tmpl w:val="FE4E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373B9"/>
    <w:multiLevelType w:val="hybridMultilevel"/>
    <w:tmpl w:val="953C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F2DDD"/>
    <w:multiLevelType w:val="hybridMultilevel"/>
    <w:tmpl w:val="FE4E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22F6F"/>
    <w:multiLevelType w:val="hybridMultilevel"/>
    <w:tmpl w:val="3A9E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44F70"/>
    <w:multiLevelType w:val="hybridMultilevel"/>
    <w:tmpl w:val="974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21351"/>
    <w:multiLevelType w:val="hybridMultilevel"/>
    <w:tmpl w:val="65AAA55E"/>
    <w:lvl w:ilvl="0" w:tplc="DC7299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730E2E"/>
    <w:multiLevelType w:val="hybridMultilevel"/>
    <w:tmpl w:val="CFACB71E"/>
    <w:lvl w:ilvl="0" w:tplc="DC729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263DB"/>
    <w:multiLevelType w:val="hybridMultilevel"/>
    <w:tmpl w:val="CFACB71E"/>
    <w:lvl w:ilvl="0" w:tplc="DC729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D0A32"/>
    <w:multiLevelType w:val="multilevel"/>
    <w:tmpl w:val="B36E18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2054E4"/>
    <w:multiLevelType w:val="hybridMultilevel"/>
    <w:tmpl w:val="EC40E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7"/>
  </w:num>
  <w:num w:numId="5">
    <w:abstractNumId w:val="5"/>
  </w:num>
  <w:num w:numId="6">
    <w:abstractNumId w:val="12"/>
  </w:num>
  <w:num w:numId="7">
    <w:abstractNumId w:val="6"/>
  </w:num>
  <w:num w:numId="8">
    <w:abstractNumId w:val="11"/>
  </w:num>
  <w:num w:numId="9">
    <w:abstractNumId w:val="0"/>
  </w:num>
  <w:num w:numId="10">
    <w:abstractNumId w:val="10"/>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emical Ge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tfdrzwraavd093eezvk5z5ehd2xvxse2wfar&quot;&gt;Suid&lt;record-ids&gt;&lt;item&gt;75&lt;/item&gt;&lt;item&gt;179&lt;/item&gt;&lt;item&gt;182&lt;/item&gt;&lt;item&gt;280&lt;/item&gt;&lt;item&gt;463&lt;/item&gt;&lt;item&gt;646&lt;/item&gt;&lt;item&gt;741&lt;/item&gt;&lt;item&gt;755&lt;/item&gt;&lt;item&gt;785&lt;/item&gt;&lt;item&gt;815&lt;/item&gt;&lt;item&gt;901&lt;/item&gt;&lt;item&gt;902&lt;/item&gt;&lt;item&gt;912&lt;/item&gt;&lt;item&gt;931&lt;/item&gt;&lt;item&gt;950&lt;/item&gt;&lt;item&gt;951&lt;/item&gt;&lt;item&gt;959&lt;/item&gt;&lt;item&gt;976&lt;/item&gt;&lt;item&gt;989&lt;/item&gt;&lt;item&gt;991&lt;/item&gt;&lt;item&gt;992&lt;/item&gt;&lt;item&gt;99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 w:name="Total_Editing_Time" w:val="1"/>
  </w:docVars>
  <w:rsids>
    <w:rsidRoot w:val="00C33DA5"/>
    <w:rsid w:val="00000B0F"/>
    <w:rsid w:val="00000B9F"/>
    <w:rsid w:val="00000E7F"/>
    <w:rsid w:val="000013A3"/>
    <w:rsid w:val="0000211D"/>
    <w:rsid w:val="00002D02"/>
    <w:rsid w:val="000034A6"/>
    <w:rsid w:val="00003762"/>
    <w:rsid w:val="000048F9"/>
    <w:rsid w:val="000056DD"/>
    <w:rsid w:val="000063C0"/>
    <w:rsid w:val="00006AE5"/>
    <w:rsid w:val="00007726"/>
    <w:rsid w:val="00011695"/>
    <w:rsid w:val="00011D5E"/>
    <w:rsid w:val="00014360"/>
    <w:rsid w:val="00014668"/>
    <w:rsid w:val="00017412"/>
    <w:rsid w:val="0001749B"/>
    <w:rsid w:val="00017919"/>
    <w:rsid w:val="000201FD"/>
    <w:rsid w:val="000212CD"/>
    <w:rsid w:val="0002293F"/>
    <w:rsid w:val="00022CDD"/>
    <w:rsid w:val="00031E8F"/>
    <w:rsid w:val="00032362"/>
    <w:rsid w:val="00032EEB"/>
    <w:rsid w:val="00034219"/>
    <w:rsid w:val="0003586B"/>
    <w:rsid w:val="00036452"/>
    <w:rsid w:val="000406AC"/>
    <w:rsid w:val="00040E08"/>
    <w:rsid w:val="00041B19"/>
    <w:rsid w:val="00041C43"/>
    <w:rsid w:val="00044C5E"/>
    <w:rsid w:val="00045505"/>
    <w:rsid w:val="0004663D"/>
    <w:rsid w:val="000473DE"/>
    <w:rsid w:val="00050DB9"/>
    <w:rsid w:val="000519D6"/>
    <w:rsid w:val="00052CFC"/>
    <w:rsid w:val="00053A2A"/>
    <w:rsid w:val="00054221"/>
    <w:rsid w:val="00055A62"/>
    <w:rsid w:val="00055E5D"/>
    <w:rsid w:val="0005608C"/>
    <w:rsid w:val="00057A62"/>
    <w:rsid w:val="00060455"/>
    <w:rsid w:val="00061D99"/>
    <w:rsid w:val="00061E1D"/>
    <w:rsid w:val="000633A5"/>
    <w:rsid w:val="00063D1C"/>
    <w:rsid w:val="00063F4C"/>
    <w:rsid w:val="0006549D"/>
    <w:rsid w:val="00065FD5"/>
    <w:rsid w:val="00067786"/>
    <w:rsid w:val="00067CB2"/>
    <w:rsid w:val="0007159E"/>
    <w:rsid w:val="0007276C"/>
    <w:rsid w:val="0007287B"/>
    <w:rsid w:val="00075855"/>
    <w:rsid w:val="00076066"/>
    <w:rsid w:val="0007610A"/>
    <w:rsid w:val="00076791"/>
    <w:rsid w:val="00077E9F"/>
    <w:rsid w:val="000805A8"/>
    <w:rsid w:val="000826BD"/>
    <w:rsid w:val="00085812"/>
    <w:rsid w:val="00086F61"/>
    <w:rsid w:val="00087188"/>
    <w:rsid w:val="0009060E"/>
    <w:rsid w:val="0009193A"/>
    <w:rsid w:val="00097DAC"/>
    <w:rsid w:val="000A030D"/>
    <w:rsid w:val="000A1EB8"/>
    <w:rsid w:val="000A1FA1"/>
    <w:rsid w:val="000A4E3A"/>
    <w:rsid w:val="000A5514"/>
    <w:rsid w:val="000A7DAA"/>
    <w:rsid w:val="000B1E12"/>
    <w:rsid w:val="000B39EE"/>
    <w:rsid w:val="000B3CB2"/>
    <w:rsid w:val="000B40FD"/>
    <w:rsid w:val="000B51FA"/>
    <w:rsid w:val="000B7139"/>
    <w:rsid w:val="000B72B2"/>
    <w:rsid w:val="000B7822"/>
    <w:rsid w:val="000B7F3A"/>
    <w:rsid w:val="000C0D44"/>
    <w:rsid w:val="000C0D9C"/>
    <w:rsid w:val="000C195B"/>
    <w:rsid w:val="000C381A"/>
    <w:rsid w:val="000C4F46"/>
    <w:rsid w:val="000C5C20"/>
    <w:rsid w:val="000C7EBD"/>
    <w:rsid w:val="000D2D2C"/>
    <w:rsid w:val="000D3599"/>
    <w:rsid w:val="000D55BA"/>
    <w:rsid w:val="000D6E72"/>
    <w:rsid w:val="000D78F5"/>
    <w:rsid w:val="000E07BE"/>
    <w:rsid w:val="000E0851"/>
    <w:rsid w:val="000E08AE"/>
    <w:rsid w:val="000E0CC4"/>
    <w:rsid w:val="000E1B96"/>
    <w:rsid w:val="000E2604"/>
    <w:rsid w:val="000E458E"/>
    <w:rsid w:val="000E4B1A"/>
    <w:rsid w:val="000E5288"/>
    <w:rsid w:val="000E5AF0"/>
    <w:rsid w:val="000E6379"/>
    <w:rsid w:val="000E6A5E"/>
    <w:rsid w:val="000E6E30"/>
    <w:rsid w:val="000E70E2"/>
    <w:rsid w:val="000F214F"/>
    <w:rsid w:val="000F4503"/>
    <w:rsid w:val="000F55A0"/>
    <w:rsid w:val="000F62A6"/>
    <w:rsid w:val="000F6F46"/>
    <w:rsid w:val="000F7503"/>
    <w:rsid w:val="000F7921"/>
    <w:rsid w:val="00100805"/>
    <w:rsid w:val="00103DCA"/>
    <w:rsid w:val="0010459E"/>
    <w:rsid w:val="0010601A"/>
    <w:rsid w:val="00106E52"/>
    <w:rsid w:val="00107466"/>
    <w:rsid w:val="00111724"/>
    <w:rsid w:val="00111F59"/>
    <w:rsid w:val="00114218"/>
    <w:rsid w:val="00114B82"/>
    <w:rsid w:val="0011672D"/>
    <w:rsid w:val="001208F9"/>
    <w:rsid w:val="001218EE"/>
    <w:rsid w:val="00121D3D"/>
    <w:rsid w:val="00121F2D"/>
    <w:rsid w:val="0012217C"/>
    <w:rsid w:val="001222F5"/>
    <w:rsid w:val="00122A0D"/>
    <w:rsid w:val="00123C0D"/>
    <w:rsid w:val="00124605"/>
    <w:rsid w:val="00124683"/>
    <w:rsid w:val="00126C93"/>
    <w:rsid w:val="0012750E"/>
    <w:rsid w:val="00132682"/>
    <w:rsid w:val="00133443"/>
    <w:rsid w:val="00133E0F"/>
    <w:rsid w:val="001346D5"/>
    <w:rsid w:val="001351F7"/>
    <w:rsid w:val="001360CC"/>
    <w:rsid w:val="00137091"/>
    <w:rsid w:val="001377C4"/>
    <w:rsid w:val="00140514"/>
    <w:rsid w:val="00140743"/>
    <w:rsid w:val="00140970"/>
    <w:rsid w:val="00144E1F"/>
    <w:rsid w:val="001463CB"/>
    <w:rsid w:val="001478E4"/>
    <w:rsid w:val="00150283"/>
    <w:rsid w:val="001551E0"/>
    <w:rsid w:val="00155B6C"/>
    <w:rsid w:val="00156231"/>
    <w:rsid w:val="00156F96"/>
    <w:rsid w:val="001602F8"/>
    <w:rsid w:val="0016160C"/>
    <w:rsid w:val="00161716"/>
    <w:rsid w:val="001620A9"/>
    <w:rsid w:val="00164ADF"/>
    <w:rsid w:val="0016656D"/>
    <w:rsid w:val="00167301"/>
    <w:rsid w:val="0017012D"/>
    <w:rsid w:val="00170D65"/>
    <w:rsid w:val="00171FEF"/>
    <w:rsid w:val="001743AB"/>
    <w:rsid w:val="00175234"/>
    <w:rsid w:val="00175396"/>
    <w:rsid w:val="00176D6B"/>
    <w:rsid w:val="001800A8"/>
    <w:rsid w:val="0018273E"/>
    <w:rsid w:val="00182835"/>
    <w:rsid w:val="00183380"/>
    <w:rsid w:val="0018720C"/>
    <w:rsid w:val="0019066C"/>
    <w:rsid w:val="00190F07"/>
    <w:rsid w:val="00191215"/>
    <w:rsid w:val="00191487"/>
    <w:rsid w:val="00193460"/>
    <w:rsid w:val="00193D7B"/>
    <w:rsid w:val="00194846"/>
    <w:rsid w:val="0019702F"/>
    <w:rsid w:val="001A2531"/>
    <w:rsid w:val="001A253A"/>
    <w:rsid w:val="001A476A"/>
    <w:rsid w:val="001A5412"/>
    <w:rsid w:val="001A54FC"/>
    <w:rsid w:val="001A67EB"/>
    <w:rsid w:val="001B01E6"/>
    <w:rsid w:val="001B0700"/>
    <w:rsid w:val="001B1607"/>
    <w:rsid w:val="001B36EA"/>
    <w:rsid w:val="001B7590"/>
    <w:rsid w:val="001C0011"/>
    <w:rsid w:val="001C17E1"/>
    <w:rsid w:val="001C29B7"/>
    <w:rsid w:val="001C4818"/>
    <w:rsid w:val="001C52A5"/>
    <w:rsid w:val="001C72C1"/>
    <w:rsid w:val="001C7D91"/>
    <w:rsid w:val="001D21C4"/>
    <w:rsid w:val="001D3464"/>
    <w:rsid w:val="001D3B6C"/>
    <w:rsid w:val="001D569E"/>
    <w:rsid w:val="001D6A47"/>
    <w:rsid w:val="001D75D5"/>
    <w:rsid w:val="001E050D"/>
    <w:rsid w:val="001E0C28"/>
    <w:rsid w:val="001E0FB3"/>
    <w:rsid w:val="001E20C7"/>
    <w:rsid w:val="001E4933"/>
    <w:rsid w:val="001E5389"/>
    <w:rsid w:val="001E6249"/>
    <w:rsid w:val="001E6C50"/>
    <w:rsid w:val="001E73C5"/>
    <w:rsid w:val="001F00DD"/>
    <w:rsid w:val="001F1F44"/>
    <w:rsid w:val="001F3574"/>
    <w:rsid w:val="001F38A1"/>
    <w:rsid w:val="001F49D4"/>
    <w:rsid w:val="001F4A36"/>
    <w:rsid w:val="001F579D"/>
    <w:rsid w:val="001F70DC"/>
    <w:rsid w:val="00201DC5"/>
    <w:rsid w:val="00201E75"/>
    <w:rsid w:val="002028BD"/>
    <w:rsid w:val="00205D3A"/>
    <w:rsid w:val="00206AF1"/>
    <w:rsid w:val="00207FF4"/>
    <w:rsid w:val="00211039"/>
    <w:rsid w:val="002111D0"/>
    <w:rsid w:val="002111F7"/>
    <w:rsid w:val="00211941"/>
    <w:rsid w:val="00211D48"/>
    <w:rsid w:val="00212182"/>
    <w:rsid w:val="00213237"/>
    <w:rsid w:val="002132F7"/>
    <w:rsid w:val="002173A2"/>
    <w:rsid w:val="002214B7"/>
    <w:rsid w:val="002216BC"/>
    <w:rsid w:val="002219D9"/>
    <w:rsid w:val="00223CA4"/>
    <w:rsid w:val="00224109"/>
    <w:rsid w:val="00225A29"/>
    <w:rsid w:val="00225F4C"/>
    <w:rsid w:val="00227E68"/>
    <w:rsid w:val="00234D54"/>
    <w:rsid w:val="002356CD"/>
    <w:rsid w:val="00236B35"/>
    <w:rsid w:val="002377E5"/>
    <w:rsid w:val="00240307"/>
    <w:rsid w:val="002409E8"/>
    <w:rsid w:val="00240E52"/>
    <w:rsid w:val="00242C60"/>
    <w:rsid w:val="00244980"/>
    <w:rsid w:val="00244BE9"/>
    <w:rsid w:val="002458F3"/>
    <w:rsid w:val="00245E6D"/>
    <w:rsid w:val="00245ED2"/>
    <w:rsid w:val="002460D0"/>
    <w:rsid w:val="0024638A"/>
    <w:rsid w:val="00247472"/>
    <w:rsid w:val="00247F47"/>
    <w:rsid w:val="00252E6D"/>
    <w:rsid w:val="00254C16"/>
    <w:rsid w:val="002555A5"/>
    <w:rsid w:val="00256D76"/>
    <w:rsid w:val="00261684"/>
    <w:rsid w:val="002616CA"/>
    <w:rsid w:val="002619F6"/>
    <w:rsid w:val="00265378"/>
    <w:rsid w:val="00266251"/>
    <w:rsid w:val="00272B4F"/>
    <w:rsid w:val="002741E8"/>
    <w:rsid w:val="00275428"/>
    <w:rsid w:val="00280A05"/>
    <w:rsid w:val="002819F8"/>
    <w:rsid w:val="00281F36"/>
    <w:rsid w:val="002823A4"/>
    <w:rsid w:val="00283C68"/>
    <w:rsid w:val="00284C99"/>
    <w:rsid w:val="002851E8"/>
    <w:rsid w:val="00285435"/>
    <w:rsid w:val="00287925"/>
    <w:rsid w:val="00290A69"/>
    <w:rsid w:val="00290EEC"/>
    <w:rsid w:val="00291ABE"/>
    <w:rsid w:val="00292961"/>
    <w:rsid w:val="00292F93"/>
    <w:rsid w:val="002959DB"/>
    <w:rsid w:val="00297D7F"/>
    <w:rsid w:val="002A00E0"/>
    <w:rsid w:val="002A2686"/>
    <w:rsid w:val="002A30C1"/>
    <w:rsid w:val="002A362C"/>
    <w:rsid w:val="002A414C"/>
    <w:rsid w:val="002A779A"/>
    <w:rsid w:val="002A7E4F"/>
    <w:rsid w:val="002B01C5"/>
    <w:rsid w:val="002B1BE4"/>
    <w:rsid w:val="002B22AD"/>
    <w:rsid w:val="002B3D4D"/>
    <w:rsid w:val="002B3D73"/>
    <w:rsid w:val="002B4940"/>
    <w:rsid w:val="002B4E05"/>
    <w:rsid w:val="002B5A8E"/>
    <w:rsid w:val="002B61AE"/>
    <w:rsid w:val="002B6389"/>
    <w:rsid w:val="002B79BE"/>
    <w:rsid w:val="002C06AB"/>
    <w:rsid w:val="002C1F04"/>
    <w:rsid w:val="002C22CC"/>
    <w:rsid w:val="002C3DCD"/>
    <w:rsid w:val="002C6206"/>
    <w:rsid w:val="002C6517"/>
    <w:rsid w:val="002C6AC9"/>
    <w:rsid w:val="002D094E"/>
    <w:rsid w:val="002D1263"/>
    <w:rsid w:val="002D1BBC"/>
    <w:rsid w:val="002D1E76"/>
    <w:rsid w:val="002D40B6"/>
    <w:rsid w:val="002D5083"/>
    <w:rsid w:val="002D64DF"/>
    <w:rsid w:val="002D72A4"/>
    <w:rsid w:val="002D74C5"/>
    <w:rsid w:val="002D7B8B"/>
    <w:rsid w:val="002D7F83"/>
    <w:rsid w:val="002E099D"/>
    <w:rsid w:val="002E76EA"/>
    <w:rsid w:val="002F03F1"/>
    <w:rsid w:val="002F2636"/>
    <w:rsid w:val="002F271D"/>
    <w:rsid w:val="002F4436"/>
    <w:rsid w:val="002F563A"/>
    <w:rsid w:val="002F5CA3"/>
    <w:rsid w:val="002F7040"/>
    <w:rsid w:val="002F7D99"/>
    <w:rsid w:val="00300111"/>
    <w:rsid w:val="00300821"/>
    <w:rsid w:val="003032B0"/>
    <w:rsid w:val="003055DF"/>
    <w:rsid w:val="0030579D"/>
    <w:rsid w:val="00305D68"/>
    <w:rsid w:val="003066CB"/>
    <w:rsid w:val="00306C7B"/>
    <w:rsid w:val="00307381"/>
    <w:rsid w:val="003077C0"/>
    <w:rsid w:val="00307DE2"/>
    <w:rsid w:val="00310E04"/>
    <w:rsid w:val="00311047"/>
    <w:rsid w:val="00311206"/>
    <w:rsid w:val="003160C5"/>
    <w:rsid w:val="00317215"/>
    <w:rsid w:val="00322462"/>
    <w:rsid w:val="00322CE7"/>
    <w:rsid w:val="003236B3"/>
    <w:rsid w:val="00324F34"/>
    <w:rsid w:val="0032615F"/>
    <w:rsid w:val="003274C9"/>
    <w:rsid w:val="00327ACD"/>
    <w:rsid w:val="00327FB1"/>
    <w:rsid w:val="00330E83"/>
    <w:rsid w:val="003313BE"/>
    <w:rsid w:val="00331F61"/>
    <w:rsid w:val="0033350A"/>
    <w:rsid w:val="00335203"/>
    <w:rsid w:val="00336602"/>
    <w:rsid w:val="00337253"/>
    <w:rsid w:val="00337384"/>
    <w:rsid w:val="0033784D"/>
    <w:rsid w:val="00337CEE"/>
    <w:rsid w:val="003405A8"/>
    <w:rsid w:val="00340EE2"/>
    <w:rsid w:val="00341F02"/>
    <w:rsid w:val="00344923"/>
    <w:rsid w:val="00344A63"/>
    <w:rsid w:val="00344E93"/>
    <w:rsid w:val="0034783B"/>
    <w:rsid w:val="00347AFC"/>
    <w:rsid w:val="003530BC"/>
    <w:rsid w:val="00353DB2"/>
    <w:rsid w:val="00355181"/>
    <w:rsid w:val="003565AF"/>
    <w:rsid w:val="00360199"/>
    <w:rsid w:val="00360EF1"/>
    <w:rsid w:val="00361E9E"/>
    <w:rsid w:val="00363DC2"/>
    <w:rsid w:val="00364144"/>
    <w:rsid w:val="0036651A"/>
    <w:rsid w:val="00366BE8"/>
    <w:rsid w:val="00367CC5"/>
    <w:rsid w:val="00370C7E"/>
    <w:rsid w:val="00371F24"/>
    <w:rsid w:val="00376D9E"/>
    <w:rsid w:val="0037701C"/>
    <w:rsid w:val="00377CB3"/>
    <w:rsid w:val="00382505"/>
    <w:rsid w:val="00383ED2"/>
    <w:rsid w:val="00385748"/>
    <w:rsid w:val="0038638C"/>
    <w:rsid w:val="00387240"/>
    <w:rsid w:val="00387B22"/>
    <w:rsid w:val="00387B95"/>
    <w:rsid w:val="00390C23"/>
    <w:rsid w:val="00392602"/>
    <w:rsid w:val="00393AC9"/>
    <w:rsid w:val="00394AD5"/>
    <w:rsid w:val="00394F0C"/>
    <w:rsid w:val="00396D7E"/>
    <w:rsid w:val="00397D71"/>
    <w:rsid w:val="003A04EA"/>
    <w:rsid w:val="003A11A5"/>
    <w:rsid w:val="003A24EF"/>
    <w:rsid w:val="003A42C7"/>
    <w:rsid w:val="003A465D"/>
    <w:rsid w:val="003A478C"/>
    <w:rsid w:val="003A5383"/>
    <w:rsid w:val="003A63AE"/>
    <w:rsid w:val="003A702D"/>
    <w:rsid w:val="003A791D"/>
    <w:rsid w:val="003B1078"/>
    <w:rsid w:val="003B1465"/>
    <w:rsid w:val="003B2256"/>
    <w:rsid w:val="003B3ECC"/>
    <w:rsid w:val="003B5812"/>
    <w:rsid w:val="003B5CA6"/>
    <w:rsid w:val="003B6AB8"/>
    <w:rsid w:val="003B6CB7"/>
    <w:rsid w:val="003B6E81"/>
    <w:rsid w:val="003C0D5A"/>
    <w:rsid w:val="003C293E"/>
    <w:rsid w:val="003C4D91"/>
    <w:rsid w:val="003C5FB7"/>
    <w:rsid w:val="003C734D"/>
    <w:rsid w:val="003C77C1"/>
    <w:rsid w:val="003C7D88"/>
    <w:rsid w:val="003D0419"/>
    <w:rsid w:val="003D0429"/>
    <w:rsid w:val="003D07F6"/>
    <w:rsid w:val="003D1E64"/>
    <w:rsid w:val="003D2E9C"/>
    <w:rsid w:val="003D35ED"/>
    <w:rsid w:val="003D36C3"/>
    <w:rsid w:val="003D551F"/>
    <w:rsid w:val="003D5848"/>
    <w:rsid w:val="003D5B60"/>
    <w:rsid w:val="003D5F70"/>
    <w:rsid w:val="003D7173"/>
    <w:rsid w:val="003E094B"/>
    <w:rsid w:val="003F0219"/>
    <w:rsid w:val="003F3496"/>
    <w:rsid w:val="003F4834"/>
    <w:rsid w:val="003F4BB4"/>
    <w:rsid w:val="003F7BA2"/>
    <w:rsid w:val="004005D4"/>
    <w:rsid w:val="0040093A"/>
    <w:rsid w:val="00402518"/>
    <w:rsid w:val="00402D41"/>
    <w:rsid w:val="00405729"/>
    <w:rsid w:val="00406872"/>
    <w:rsid w:val="00406A29"/>
    <w:rsid w:val="00410258"/>
    <w:rsid w:val="004126EA"/>
    <w:rsid w:val="00413E1B"/>
    <w:rsid w:val="00413E73"/>
    <w:rsid w:val="00414D40"/>
    <w:rsid w:val="004169E3"/>
    <w:rsid w:val="004202CA"/>
    <w:rsid w:val="00420B36"/>
    <w:rsid w:val="00422926"/>
    <w:rsid w:val="0042371F"/>
    <w:rsid w:val="00425BBB"/>
    <w:rsid w:val="00426A31"/>
    <w:rsid w:val="00427C10"/>
    <w:rsid w:val="00432912"/>
    <w:rsid w:val="00432C49"/>
    <w:rsid w:val="00433804"/>
    <w:rsid w:val="00433A94"/>
    <w:rsid w:val="00434408"/>
    <w:rsid w:val="00435692"/>
    <w:rsid w:val="004363EF"/>
    <w:rsid w:val="004409B0"/>
    <w:rsid w:val="0044148C"/>
    <w:rsid w:val="00442DDD"/>
    <w:rsid w:val="00443138"/>
    <w:rsid w:val="00444F0E"/>
    <w:rsid w:val="00446E72"/>
    <w:rsid w:val="00447A4D"/>
    <w:rsid w:val="00447AF9"/>
    <w:rsid w:val="00447F00"/>
    <w:rsid w:val="00450164"/>
    <w:rsid w:val="004504DB"/>
    <w:rsid w:val="004508AC"/>
    <w:rsid w:val="00460948"/>
    <w:rsid w:val="00460958"/>
    <w:rsid w:val="00460E34"/>
    <w:rsid w:val="004620C9"/>
    <w:rsid w:val="004630B1"/>
    <w:rsid w:val="004648EA"/>
    <w:rsid w:val="00466183"/>
    <w:rsid w:val="0047138B"/>
    <w:rsid w:val="004743C5"/>
    <w:rsid w:val="00477409"/>
    <w:rsid w:val="004816C5"/>
    <w:rsid w:val="004816E3"/>
    <w:rsid w:val="004823CB"/>
    <w:rsid w:val="004823CC"/>
    <w:rsid w:val="004826A7"/>
    <w:rsid w:val="004828AC"/>
    <w:rsid w:val="00482A0D"/>
    <w:rsid w:val="004834E7"/>
    <w:rsid w:val="00485913"/>
    <w:rsid w:val="00486ACF"/>
    <w:rsid w:val="0048778D"/>
    <w:rsid w:val="00490B5C"/>
    <w:rsid w:val="004910FD"/>
    <w:rsid w:val="00492EDF"/>
    <w:rsid w:val="004933C3"/>
    <w:rsid w:val="00493820"/>
    <w:rsid w:val="00493D7F"/>
    <w:rsid w:val="00494FAC"/>
    <w:rsid w:val="00497907"/>
    <w:rsid w:val="004A1819"/>
    <w:rsid w:val="004A2217"/>
    <w:rsid w:val="004A25B2"/>
    <w:rsid w:val="004A27B9"/>
    <w:rsid w:val="004A2F66"/>
    <w:rsid w:val="004A3336"/>
    <w:rsid w:val="004A33F0"/>
    <w:rsid w:val="004B0B41"/>
    <w:rsid w:val="004B3AB6"/>
    <w:rsid w:val="004B57FD"/>
    <w:rsid w:val="004C2B76"/>
    <w:rsid w:val="004C3966"/>
    <w:rsid w:val="004C5842"/>
    <w:rsid w:val="004C6B57"/>
    <w:rsid w:val="004D0041"/>
    <w:rsid w:val="004D19FA"/>
    <w:rsid w:val="004D273A"/>
    <w:rsid w:val="004D5442"/>
    <w:rsid w:val="004D7F17"/>
    <w:rsid w:val="004E00CA"/>
    <w:rsid w:val="004E1318"/>
    <w:rsid w:val="004E1D91"/>
    <w:rsid w:val="004E27C6"/>
    <w:rsid w:val="004E394C"/>
    <w:rsid w:val="004E4012"/>
    <w:rsid w:val="004E4EDD"/>
    <w:rsid w:val="004E5BDF"/>
    <w:rsid w:val="004E6CEA"/>
    <w:rsid w:val="004F00F1"/>
    <w:rsid w:val="004F068B"/>
    <w:rsid w:val="004F1933"/>
    <w:rsid w:val="004F1D4E"/>
    <w:rsid w:val="004F21CA"/>
    <w:rsid w:val="004F2271"/>
    <w:rsid w:val="004F33CD"/>
    <w:rsid w:val="004F3701"/>
    <w:rsid w:val="004F3988"/>
    <w:rsid w:val="004F3CBB"/>
    <w:rsid w:val="004F3F81"/>
    <w:rsid w:val="004F5B2F"/>
    <w:rsid w:val="004F64EC"/>
    <w:rsid w:val="004F7623"/>
    <w:rsid w:val="004F7A98"/>
    <w:rsid w:val="00502725"/>
    <w:rsid w:val="00502B04"/>
    <w:rsid w:val="00502B28"/>
    <w:rsid w:val="00503B3D"/>
    <w:rsid w:val="00503BAA"/>
    <w:rsid w:val="00504164"/>
    <w:rsid w:val="00506364"/>
    <w:rsid w:val="005063C9"/>
    <w:rsid w:val="005068C9"/>
    <w:rsid w:val="00506B9D"/>
    <w:rsid w:val="00510961"/>
    <w:rsid w:val="00510B1A"/>
    <w:rsid w:val="00511E5D"/>
    <w:rsid w:val="00513CF1"/>
    <w:rsid w:val="0051407C"/>
    <w:rsid w:val="0051612D"/>
    <w:rsid w:val="00516FFE"/>
    <w:rsid w:val="0051724C"/>
    <w:rsid w:val="00520125"/>
    <w:rsid w:val="00520160"/>
    <w:rsid w:val="00521315"/>
    <w:rsid w:val="00521E60"/>
    <w:rsid w:val="0052292B"/>
    <w:rsid w:val="0052434A"/>
    <w:rsid w:val="00527952"/>
    <w:rsid w:val="00527B56"/>
    <w:rsid w:val="00530B4A"/>
    <w:rsid w:val="00531334"/>
    <w:rsid w:val="00533BD4"/>
    <w:rsid w:val="0053424E"/>
    <w:rsid w:val="00544001"/>
    <w:rsid w:val="00544533"/>
    <w:rsid w:val="00544809"/>
    <w:rsid w:val="00544EA5"/>
    <w:rsid w:val="00546C39"/>
    <w:rsid w:val="005477EC"/>
    <w:rsid w:val="00547A90"/>
    <w:rsid w:val="0055056A"/>
    <w:rsid w:val="00551033"/>
    <w:rsid w:val="0055182A"/>
    <w:rsid w:val="00553F3A"/>
    <w:rsid w:val="005544FC"/>
    <w:rsid w:val="00554AA5"/>
    <w:rsid w:val="00554DB6"/>
    <w:rsid w:val="00555970"/>
    <w:rsid w:val="00557552"/>
    <w:rsid w:val="00561986"/>
    <w:rsid w:val="00561C3E"/>
    <w:rsid w:val="005620CA"/>
    <w:rsid w:val="00562A6F"/>
    <w:rsid w:val="00562ED0"/>
    <w:rsid w:val="0056530B"/>
    <w:rsid w:val="00566AD1"/>
    <w:rsid w:val="005706CA"/>
    <w:rsid w:val="005711F6"/>
    <w:rsid w:val="00571B8B"/>
    <w:rsid w:val="005729CD"/>
    <w:rsid w:val="00576060"/>
    <w:rsid w:val="0057660B"/>
    <w:rsid w:val="00576ABC"/>
    <w:rsid w:val="005776EE"/>
    <w:rsid w:val="0058307A"/>
    <w:rsid w:val="0058380C"/>
    <w:rsid w:val="00586DF1"/>
    <w:rsid w:val="00587E26"/>
    <w:rsid w:val="0059043C"/>
    <w:rsid w:val="00591ECA"/>
    <w:rsid w:val="005924FB"/>
    <w:rsid w:val="00592C63"/>
    <w:rsid w:val="00593843"/>
    <w:rsid w:val="00594146"/>
    <w:rsid w:val="00595A68"/>
    <w:rsid w:val="00596B16"/>
    <w:rsid w:val="0059712D"/>
    <w:rsid w:val="0059713C"/>
    <w:rsid w:val="005A2737"/>
    <w:rsid w:val="005A4831"/>
    <w:rsid w:val="005A66C9"/>
    <w:rsid w:val="005B0861"/>
    <w:rsid w:val="005B18FB"/>
    <w:rsid w:val="005B22EA"/>
    <w:rsid w:val="005B6F53"/>
    <w:rsid w:val="005B7491"/>
    <w:rsid w:val="005C2BA6"/>
    <w:rsid w:val="005C478A"/>
    <w:rsid w:val="005C511B"/>
    <w:rsid w:val="005C666A"/>
    <w:rsid w:val="005C6879"/>
    <w:rsid w:val="005C6DB4"/>
    <w:rsid w:val="005C7628"/>
    <w:rsid w:val="005C7EAD"/>
    <w:rsid w:val="005D07FB"/>
    <w:rsid w:val="005D12A0"/>
    <w:rsid w:val="005D2E99"/>
    <w:rsid w:val="005D4F44"/>
    <w:rsid w:val="005D5CE2"/>
    <w:rsid w:val="005D72BC"/>
    <w:rsid w:val="005D7C85"/>
    <w:rsid w:val="005E3319"/>
    <w:rsid w:val="005E3F6F"/>
    <w:rsid w:val="005E50D2"/>
    <w:rsid w:val="005E5C2C"/>
    <w:rsid w:val="005E5C80"/>
    <w:rsid w:val="005E73AF"/>
    <w:rsid w:val="005F2E2F"/>
    <w:rsid w:val="005F33CC"/>
    <w:rsid w:val="005F3972"/>
    <w:rsid w:val="005F45DF"/>
    <w:rsid w:val="005F47D3"/>
    <w:rsid w:val="005F4D2E"/>
    <w:rsid w:val="005F513B"/>
    <w:rsid w:val="005F5153"/>
    <w:rsid w:val="005F7D89"/>
    <w:rsid w:val="006007D1"/>
    <w:rsid w:val="00600EE2"/>
    <w:rsid w:val="006017E9"/>
    <w:rsid w:val="00602AE7"/>
    <w:rsid w:val="0060509D"/>
    <w:rsid w:val="006051ED"/>
    <w:rsid w:val="00605368"/>
    <w:rsid w:val="006054CD"/>
    <w:rsid w:val="00610D83"/>
    <w:rsid w:val="00612199"/>
    <w:rsid w:val="006121FD"/>
    <w:rsid w:val="0061628B"/>
    <w:rsid w:val="0061656A"/>
    <w:rsid w:val="00617949"/>
    <w:rsid w:val="00620013"/>
    <w:rsid w:val="00620383"/>
    <w:rsid w:val="00620681"/>
    <w:rsid w:val="006222B7"/>
    <w:rsid w:val="006231E0"/>
    <w:rsid w:val="00623680"/>
    <w:rsid w:val="00627CE6"/>
    <w:rsid w:val="00627DF6"/>
    <w:rsid w:val="00630826"/>
    <w:rsid w:val="0063089E"/>
    <w:rsid w:val="00631770"/>
    <w:rsid w:val="00631D0B"/>
    <w:rsid w:val="00632774"/>
    <w:rsid w:val="00632810"/>
    <w:rsid w:val="0063288A"/>
    <w:rsid w:val="00633A0F"/>
    <w:rsid w:val="00634718"/>
    <w:rsid w:val="00634A21"/>
    <w:rsid w:val="0063503F"/>
    <w:rsid w:val="00635726"/>
    <w:rsid w:val="0063606B"/>
    <w:rsid w:val="00642211"/>
    <w:rsid w:val="0064334E"/>
    <w:rsid w:val="00643B2D"/>
    <w:rsid w:val="00643C78"/>
    <w:rsid w:val="006453FA"/>
    <w:rsid w:val="00646286"/>
    <w:rsid w:val="00646930"/>
    <w:rsid w:val="00647051"/>
    <w:rsid w:val="00647B47"/>
    <w:rsid w:val="006507B1"/>
    <w:rsid w:val="00652336"/>
    <w:rsid w:val="006558B2"/>
    <w:rsid w:val="00657538"/>
    <w:rsid w:val="00657802"/>
    <w:rsid w:val="0066020F"/>
    <w:rsid w:val="00660E0E"/>
    <w:rsid w:val="00663725"/>
    <w:rsid w:val="00664BC8"/>
    <w:rsid w:val="006667C6"/>
    <w:rsid w:val="00667027"/>
    <w:rsid w:val="006714CA"/>
    <w:rsid w:val="00671682"/>
    <w:rsid w:val="0067171C"/>
    <w:rsid w:val="006727FC"/>
    <w:rsid w:val="00673805"/>
    <w:rsid w:val="00673B6B"/>
    <w:rsid w:val="00675E0E"/>
    <w:rsid w:val="006768CE"/>
    <w:rsid w:val="00680F89"/>
    <w:rsid w:val="0068132B"/>
    <w:rsid w:val="00681DDF"/>
    <w:rsid w:val="0068339A"/>
    <w:rsid w:val="00683E20"/>
    <w:rsid w:val="0068430D"/>
    <w:rsid w:val="00684A7C"/>
    <w:rsid w:val="00685C97"/>
    <w:rsid w:val="0068715F"/>
    <w:rsid w:val="006878B0"/>
    <w:rsid w:val="00690501"/>
    <w:rsid w:val="00690FC3"/>
    <w:rsid w:val="006915C4"/>
    <w:rsid w:val="00691B00"/>
    <w:rsid w:val="00691D5D"/>
    <w:rsid w:val="00691DD3"/>
    <w:rsid w:val="00694025"/>
    <w:rsid w:val="00695896"/>
    <w:rsid w:val="00696159"/>
    <w:rsid w:val="00696515"/>
    <w:rsid w:val="00696B5E"/>
    <w:rsid w:val="006A0615"/>
    <w:rsid w:val="006A06AC"/>
    <w:rsid w:val="006A2228"/>
    <w:rsid w:val="006A259B"/>
    <w:rsid w:val="006A51D9"/>
    <w:rsid w:val="006A570A"/>
    <w:rsid w:val="006B2197"/>
    <w:rsid w:val="006B3B94"/>
    <w:rsid w:val="006B4AD1"/>
    <w:rsid w:val="006B53D4"/>
    <w:rsid w:val="006B5B40"/>
    <w:rsid w:val="006B7C94"/>
    <w:rsid w:val="006C1823"/>
    <w:rsid w:val="006C4258"/>
    <w:rsid w:val="006C6232"/>
    <w:rsid w:val="006C7585"/>
    <w:rsid w:val="006D1402"/>
    <w:rsid w:val="006D39FC"/>
    <w:rsid w:val="006D551C"/>
    <w:rsid w:val="006D5603"/>
    <w:rsid w:val="006E02C6"/>
    <w:rsid w:val="006E0E8A"/>
    <w:rsid w:val="006E1266"/>
    <w:rsid w:val="006E2E80"/>
    <w:rsid w:val="006E3DA6"/>
    <w:rsid w:val="006E437F"/>
    <w:rsid w:val="006E550C"/>
    <w:rsid w:val="006E618D"/>
    <w:rsid w:val="006E62E7"/>
    <w:rsid w:val="006E69C2"/>
    <w:rsid w:val="006E7BAC"/>
    <w:rsid w:val="006F7BC6"/>
    <w:rsid w:val="00700972"/>
    <w:rsid w:val="00701FEA"/>
    <w:rsid w:val="007020AE"/>
    <w:rsid w:val="00703262"/>
    <w:rsid w:val="00703D42"/>
    <w:rsid w:val="00704692"/>
    <w:rsid w:val="0070551E"/>
    <w:rsid w:val="00706326"/>
    <w:rsid w:val="00707CE6"/>
    <w:rsid w:val="00711FBE"/>
    <w:rsid w:val="007163EC"/>
    <w:rsid w:val="00716F52"/>
    <w:rsid w:val="0072529E"/>
    <w:rsid w:val="0072532D"/>
    <w:rsid w:val="0072574E"/>
    <w:rsid w:val="00727479"/>
    <w:rsid w:val="007326C3"/>
    <w:rsid w:val="00733269"/>
    <w:rsid w:val="00734D14"/>
    <w:rsid w:val="0073727A"/>
    <w:rsid w:val="007374E6"/>
    <w:rsid w:val="00737E58"/>
    <w:rsid w:val="00740154"/>
    <w:rsid w:val="007418D3"/>
    <w:rsid w:val="00742233"/>
    <w:rsid w:val="00743C27"/>
    <w:rsid w:val="00744021"/>
    <w:rsid w:val="007441FB"/>
    <w:rsid w:val="007472BC"/>
    <w:rsid w:val="00747C24"/>
    <w:rsid w:val="00751DCB"/>
    <w:rsid w:val="00753580"/>
    <w:rsid w:val="007538B2"/>
    <w:rsid w:val="00753AD6"/>
    <w:rsid w:val="00754687"/>
    <w:rsid w:val="00755C9C"/>
    <w:rsid w:val="007561F6"/>
    <w:rsid w:val="00761E34"/>
    <w:rsid w:val="00763521"/>
    <w:rsid w:val="00765D2F"/>
    <w:rsid w:val="00767C6F"/>
    <w:rsid w:val="00770D61"/>
    <w:rsid w:val="00771241"/>
    <w:rsid w:val="0077153D"/>
    <w:rsid w:val="00773DCC"/>
    <w:rsid w:val="0077439C"/>
    <w:rsid w:val="007750DD"/>
    <w:rsid w:val="00775759"/>
    <w:rsid w:val="00775F5F"/>
    <w:rsid w:val="00780737"/>
    <w:rsid w:val="0078176D"/>
    <w:rsid w:val="00781A24"/>
    <w:rsid w:val="007828CD"/>
    <w:rsid w:val="00783F2B"/>
    <w:rsid w:val="0078411E"/>
    <w:rsid w:val="007846AA"/>
    <w:rsid w:val="007855B4"/>
    <w:rsid w:val="0078629A"/>
    <w:rsid w:val="007908EA"/>
    <w:rsid w:val="0079209C"/>
    <w:rsid w:val="00792ADE"/>
    <w:rsid w:val="007947D6"/>
    <w:rsid w:val="007969A4"/>
    <w:rsid w:val="007A29C6"/>
    <w:rsid w:val="007A39ED"/>
    <w:rsid w:val="007A4106"/>
    <w:rsid w:val="007A65A7"/>
    <w:rsid w:val="007A65FE"/>
    <w:rsid w:val="007A7122"/>
    <w:rsid w:val="007A7312"/>
    <w:rsid w:val="007B3047"/>
    <w:rsid w:val="007B38B5"/>
    <w:rsid w:val="007B44B8"/>
    <w:rsid w:val="007B45ED"/>
    <w:rsid w:val="007B7423"/>
    <w:rsid w:val="007C1F01"/>
    <w:rsid w:val="007C2D70"/>
    <w:rsid w:val="007C422E"/>
    <w:rsid w:val="007C4339"/>
    <w:rsid w:val="007C4A17"/>
    <w:rsid w:val="007C5328"/>
    <w:rsid w:val="007C5DAA"/>
    <w:rsid w:val="007C5F70"/>
    <w:rsid w:val="007C5FD1"/>
    <w:rsid w:val="007C751F"/>
    <w:rsid w:val="007C7E26"/>
    <w:rsid w:val="007D1DEE"/>
    <w:rsid w:val="007D2724"/>
    <w:rsid w:val="007D2C76"/>
    <w:rsid w:val="007D64A9"/>
    <w:rsid w:val="007D7AD3"/>
    <w:rsid w:val="007E1632"/>
    <w:rsid w:val="007E281C"/>
    <w:rsid w:val="007F0845"/>
    <w:rsid w:val="007F1753"/>
    <w:rsid w:val="007F2948"/>
    <w:rsid w:val="007F3022"/>
    <w:rsid w:val="007F36B8"/>
    <w:rsid w:val="007F47D2"/>
    <w:rsid w:val="007F635B"/>
    <w:rsid w:val="007F670E"/>
    <w:rsid w:val="00800043"/>
    <w:rsid w:val="00800238"/>
    <w:rsid w:val="00800532"/>
    <w:rsid w:val="008005BC"/>
    <w:rsid w:val="00800A5B"/>
    <w:rsid w:val="00801544"/>
    <w:rsid w:val="00802AC8"/>
    <w:rsid w:val="0080302C"/>
    <w:rsid w:val="008033B0"/>
    <w:rsid w:val="00804B99"/>
    <w:rsid w:val="00805763"/>
    <w:rsid w:val="00811659"/>
    <w:rsid w:val="0081608B"/>
    <w:rsid w:val="00816A60"/>
    <w:rsid w:val="00816FEC"/>
    <w:rsid w:val="008172F4"/>
    <w:rsid w:val="00821164"/>
    <w:rsid w:val="00822119"/>
    <w:rsid w:val="00822FA0"/>
    <w:rsid w:val="008242F1"/>
    <w:rsid w:val="008246F3"/>
    <w:rsid w:val="00826C53"/>
    <w:rsid w:val="00827F0E"/>
    <w:rsid w:val="00831F88"/>
    <w:rsid w:val="008334C9"/>
    <w:rsid w:val="00834D9B"/>
    <w:rsid w:val="00837FDB"/>
    <w:rsid w:val="00840747"/>
    <w:rsid w:val="008422F4"/>
    <w:rsid w:val="00844A00"/>
    <w:rsid w:val="00847795"/>
    <w:rsid w:val="00850922"/>
    <w:rsid w:val="00851F16"/>
    <w:rsid w:val="008542F5"/>
    <w:rsid w:val="008551CE"/>
    <w:rsid w:val="00857FFA"/>
    <w:rsid w:val="008611FC"/>
    <w:rsid w:val="00866A2A"/>
    <w:rsid w:val="0087591C"/>
    <w:rsid w:val="00880A36"/>
    <w:rsid w:val="00880E70"/>
    <w:rsid w:val="00881572"/>
    <w:rsid w:val="00881F6E"/>
    <w:rsid w:val="00883A22"/>
    <w:rsid w:val="00883AC6"/>
    <w:rsid w:val="00885610"/>
    <w:rsid w:val="00885B90"/>
    <w:rsid w:val="00886F11"/>
    <w:rsid w:val="00887043"/>
    <w:rsid w:val="008872CA"/>
    <w:rsid w:val="008916FB"/>
    <w:rsid w:val="00891973"/>
    <w:rsid w:val="00894ADA"/>
    <w:rsid w:val="008955E6"/>
    <w:rsid w:val="00895815"/>
    <w:rsid w:val="008A1FE1"/>
    <w:rsid w:val="008A22E4"/>
    <w:rsid w:val="008A3148"/>
    <w:rsid w:val="008A43D3"/>
    <w:rsid w:val="008A581B"/>
    <w:rsid w:val="008A6447"/>
    <w:rsid w:val="008A648E"/>
    <w:rsid w:val="008A7D20"/>
    <w:rsid w:val="008B0174"/>
    <w:rsid w:val="008B06AD"/>
    <w:rsid w:val="008B28C1"/>
    <w:rsid w:val="008B51EF"/>
    <w:rsid w:val="008B5C20"/>
    <w:rsid w:val="008B632A"/>
    <w:rsid w:val="008B643F"/>
    <w:rsid w:val="008C25C4"/>
    <w:rsid w:val="008C5E96"/>
    <w:rsid w:val="008C62B5"/>
    <w:rsid w:val="008D0216"/>
    <w:rsid w:val="008D165F"/>
    <w:rsid w:val="008D55B5"/>
    <w:rsid w:val="008D5FBD"/>
    <w:rsid w:val="008D6B0E"/>
    <w:rsid w:val="008E0F74"/>
    <w:rsid w:val="008E1BE7"/>
    <w:rsid w:val="008E2FAB"/>
    <w:rsid w:val="008E3B8C"/>
    <w:rsid w:val="008E7A33"/>
    <w:rsid w:val="008F140E"/>
    <w:rsid w:val="008F354A"/>
    <w:rsid w:val="008F36AC"/>
    <w:rsid w:val="008F4289"/>
    <w:rsid w:val="008F4CC3"/>
    <w:rsid w:val="008F55AC"/>
    <w:rsid w:val="0090152B"/>
    <w:rsid w:val="009016AA"/>
    <w:rsid w:val="0090223E"/>
    <w:rsid w:val="009033ED"/>
    <w:rsid w:val="00903483"/>
    <w:rsid w:val="00904E3B"/>
    <w:rsid w:val="00906D8B"/>
    <w:rsid w:val="00914569"/>
    <w:rsid w:val="00915D0C"/>
    <w:rsid w:val="00915DE0"/>
    <w:rsid w:val="00916C64"/>
    <w:rsid w:val="00917879"/>
    <w:rsid w:val="009229FB"/>
    <w:rsid w:val="00923582"/>
    <w:rsid w:val="00924055"/>
    <w:rsid w:val="00934229"/>
    <w:rsid w:val="00934713"/>
    <w:rsid w:val="009348E6"/>
    <w:rsid w:val="009364CD"/>
    <w:rsid w:val="00936959"/>
    <w:rsid w:val="00940D80"/>
    <w:rsid w:val="00942018"/>
    <w:rsid w:val="009434AC"/>
    <w:rsid w:val="0094404E"/>
    <w:rsid w:val="0094644E"/>
    <w:rsid w:val="0095053D"/>
    <w:rsid w:val="00950991"/>
    <w:rsid w:val="009513D6"/>
    <w:rsid w:val="00951BB2"/>
    <w:rsid w:val="009534C6"/>
    <w:rsid w:val="00953EB0"/>
    <w:rsid w:val="0095571D"/>
    <w:rsid w:val="00955D54"/>
    <w:rsid w:val="00956DB3"/>
    <w:rsid w:val="009604A4"/>
    <w:rsid w:val="00960AD5"/>
    <w:rsid w:val="009616A5"/>
    <w:rsid w:val="0096312E"/>
    <w:rsid w:val="00964C47"/>
    <w:rsid w:val="0096535D"/>
    <w:rsid w:val="0096792F"/>
    <w:rsid w:val="00967E2B"/>
    <w:rsid w:val="009707DD"/>
    <w:rsid w:val="00970D77"/>
    <w:rsid w:val="009743C7"/>
    <w:rsid w:val="00974AAD"/>
    <w:rsid w:val="00975843"/>
    <w:rsid w:val="009776E9"/>
    <w:rsid w:val="00980BE9"/>
    <w:rsid w:val="009815F6"/>
    <w:rsid w:val="009816BE"/>
    <w:rsid w:val="009823C9"/>
    <w:rsid w:val="00983B68"/>
    <w:rsid w:val="00984405"/>
    <w:rsid w:val="00984BDC"/>
    <w:rsid w:val="00985788"/>
    <w:rsid w:val="009868C0"/>
    <w:rsid w:val="009876B7"/>
    <w:rsid w:val="00990F2A"/>
    <w:rsid w:val="0099530F"/>
    <w:rsid w:val="00995D0A"/>
    <w:rsid w:val="00996C90"/>
    <w:rsid w:val="0099731E"/>
    <w:rsid w:val="009A3F72"/>
    <w:rsid w:val="009A4255"/>
    <w:rsid w:val="009A4DCC"/>
    <w:rsid w:val="009B2FB0"/>
    <w:rsid w:val="009B341B"/>
    <w:rsid w:val="009B39C6"/>
    <w:rsid w:val="009B58A0"/>
    <w:rsid w:val="009B7ABA"/>
    <w:rsid w:val="009B7F14"/>
    <w:rsid w:val="009C0386"/>
    <w:rsid w:val="009C08E6"/>
    <w:rsid w:val="009C21C5"/>
    <w:rsid w:val="009C38A0"/>
    <w:rsid w:val="009C3E8A"/>
    <w:rsid w:val="009C45B1"/>
    <w:rsid w:val="009C48C4"/>
    <w:rsid w:val="009C68A2"/>
    <w:rsid w:val="009C6D59"/>
    <w:rsid w:val="009C7C73"/>
    <w:rsid w:val="009D0057"/>
    <w:rsid w:val="009D0EAC"/>
    <w:rsid w:val="009D1E22"/>
    <w:rsid w:val="009D2FD7"/>
    <w:rsid w:val="009D3AC8"/>
    <w:rsid w:val="009E0493"/>
    <w:rsid w:val="009E1C68"/>
    <w:rsid w:val="009E20C1"/>
    <w:rsid w:val="009E2654"/>
    <w:rsid w:val="009E373D"/>
    <w:rsid w:val="009E57A5"/>
    <w:rsid w:val="009E5A09"/>
    <w:rsid w:val="009E5C6E"/>
    <w:rsid w:val="009E5EA6"/>
    <w:rsid w:val="009E601E"/>
    <w:rsid w:val="009E68AA"/>
    <w:rsid w:val="009E76A3"/>
    <w:rsid w:val="009E7BA4"/>
    <w:rsid w:val="009F29D4"/>
    <w:rsid w:val="009F2BE4"/>
    <w:rsid w:val="009F3900"/>
    <w:rsid w:val="009F3A1E"/>
    <w:rsid w:val="009F4767"/>
    <w:rsid w:val="009F7202"/>
    <w:rsid w:val="009F7BC7"/>
    <w:rsid w:val="00A00D65"/>
    <w:rsid w:val="00A03280"/>
    <w:rsid w:val="00A044AF"/>
    <w:rsid w:val="00A04516"/>
    <w:rsid w:val="00A063CF"/>
    <w:rsid w:val="00A07D89"/>
    <w:rsid w:val="00A11240"/>
    <w:rsid w:val="00A13C4E"/>
    <w:rsid w:val="00A13F3E"/>
    <w:rsid w:val="00A14C1D"/>
    <w:rsid w:val="00A16602"/>
    <w:rsid w:val="00A16910"/>
    <w:rsid w:val="00A16E54"/>
    <w:rsid w:val="00A175FE"/>
    <w:rsid w:val="00A205F2"/>
    <w:rsid w:val="00A2091E"/>
    <w:rsid w:val="00A22CF6"/>
    <w:rsid w:val="00A250CA"/>
    <w:rsid w:val="00A258F6"/>
    <w:rsid w:val="00A30BFC"/>
    <w:rsid w:val="00A3233F"/>
    <w:rsid w:val="00A32B99"/>
    <w:rsid w:val="00A34A08"/>
    <w:rsid w:val="00A358A5"/>
    <w:rsid w:val="00A366D6"/>
    <w:rsid w:val="00A36D06"/>
    <w:rsid w:val="00A37C4C"/>
    <w:rsid w:val="00A41CB6"/>
    <w:rsid w:val="00A41E64"/>
    <w:rsid w:val="00A420AD"/>
    <w:rsid w:val="00A43761"/>
    <w:rsid w:val="00A43A80"/>
    <w:rsid w:val="00A44C3C"/>
    <w:rsid w:val="00A56B01"/>
    <w:rsid w:val="00A57FD5"/>
    <w:rsid w:val="00A64552"/>
    <w:rsid w:val="00A64F2D"/>
    <w:rsid w:val="00A65219"/>
    <w:rsid w:val="00A655A3"/>
    <w:rsid w:val="00A67790"/>
    <w:rsid w:val="00A73B2A"/>
    <w:rsid w:val="00A745DB"/>
    <w:rsid w:val="00A750AD"/>
    <w:rsid w:val="00A753B5"/>
    <w:rsid w:val="00A76DDC"/>
    <w:rsid w:val="00A7721A"/>
    <w:rsid w:val="00A77ABF"/>
    <w:rsid w:val="00A80E61"/>
    <w:rsid w:val="00A812E7"/>
    <w:rsid w:val="00A81E81"/>
    <w:rsid w:val="00A8322A"/>
    <w:rsid w:val="00A84C6C"/>
    <w:rsid w:val="00A857AC"/>
    <w:rsid w:val="00A8588D"/>
    <w:rsid w:val="00A85F98"/>
    <w:rsid w:val="00A86136"/>
    <w:rsid w:val="00A867E1"/>
    <w:rsid w:val="00A8746C"/>
    <w:rsid w:val="00A874B3"/>
    <w:rsid w:val="00A9007B"/>
    <w:rsid w:val="00A901B1"/>
    <w:rsid w:val="00A91812"/>
    <w:rsid w:val="00A9225C"/>
    <w:rsid w:val="00A92639"/>
    <w:rsid w:val="00A93603"/>
    <w:rsid w:val="00A94C41"/>
    <w:rsid w:val="00A95259"/>
    <w:rsid w:val="00A9599B"/>
    <w:rsid w:val="00A96283"/>
    <w:rsid w:val="00A96EB1"/>
    <w:rsid w:val="00AA0547"/>
    <w:rsid w:val="00AA2DC8"/>
    <w:rsid w:val="00AA30E8"/>
    <w:rsid w:val="00AA434C"/>
    <w:rsid w:val="00AA462C"/>
    <w:rsid w:val="00AA4A93"/>
    <w:rsid w:val="00AA4C3E"/>
    <w:rsid w:val="00AA4F33"/>
    <w:rsid w:val="00AA67DD"/>
    <w:rsid w:val="00AA73B6"/>
    <w:rsid w:val="00AB06E2"/>
    <w:rsid w:val="00AB10B5"/>
    <w:rsid w:val="00AB1A3A"/>
    <w:rsid w:val="00AB1E31"/>
    <w:rsid w:val="00AB35BF"/>
    <w:rsid w:val="00AB4B65"/>
    <w:rsid w:val="00AB5EAB"/>
    <w:rsid w:val="00AC3F01"/>
    <w:rsid w:val="00AC4DCE"/>
    <w:rsid w:val="00AC4F12"/>
    <w:rsid w:val="00AC5145"/>
    <w:rsid w:val="00AC55A9"/>
    <w:rsid w:val="00AC5AC2"/>
    <w:rsid w:val="00AC76D1"/>
    <w:rsid w:val="00AD064F"/>
    <w:rsid w:val="00AD5F1A"/>
    <w:rsid w:val="00AD6733"/>
    <w:rsid w:val="00AD6B54"/>
    <w:rsid w:val="00AD76B5"/>
    <w:rsid w:val="00AE0B7D"/>
    <w:rsid w:val="00AE0D51"/>
    <w:rsid w:val="00AE111A"/>
    <w:rsid w:val="00AE13C1"/>
    <w:rsid w:val="00AE6135"/>
    <w:rsid w:val="00AE65A4"/>
    <w:rsid w:val="00AE6B85"/>
    <w:rsid w:val="00AE72EE"/>
    <w:rsid w:val="00AF00AC"/>
    <w:rsid w:val="00AF08BB"/>
    <w:rsid w:val="00AF0F1F"/>
    <w:rsid w:val="00AF1113"/>
    <w:rsid w:val="00AF1668"/>
    <w:rsid w:val="00AF172D"/>
    <w:rsid w:val="00AF2180"/>
    <w:rsid w:val="00AF218F"/>
    <w:rsid w:val="00AF24DF"/>
    <w:rsid w:val="00AF2D21"/>
    <w:rsid w:val="00AF3366"/>
    <w:rsid w:val="00AF4A30"/>
    <w:rsid w:val="00AF5A3B"/>
    <w:rsid w:val="00AF5AC7"/>
    <w:rsid w:val="00AF6201"/>
    <w:rsid w:val="00AF6F1F"/>
    <w:rsid w:val="00AF7A1D"/>
    <w:rsid w:val="00AF7B87"/>
    <w:rsid w:val="00B00E6A"/>
    <w:rsid w:val="00B032C4"/>
    <w:rsid w:val="00B03A01"/>
    <w:rsid w:val="00B03CFA"/>
    <w:rsid w:val="00B048C5"/>
    <w:rsid w:val="00B0491F"/>
    <w:rsid w:val="00B049CD"/>
    <w:rsid w:val="00B04AA8"/>
    <w:rsid w:val="00B04B5B"/>
    <w:rsid w:val="00B05541"/>
    <w:rsid w:val="00B059BA"/>
    <w:rsid w:val="00B075C8"/>
    <w:rsid w:val="00B07A4A"/>
    <w:rsid w:val="00B11DAB"/>
    <w:rsid w:val="00B15008"/>
    <w:rsid w:val="00B20D4E"/>
    <w:rsid w:val="00B20E26"/>
    <w:rsid w:val="00B219B5"/>
    <w:rsid w:val="00B22507"/>
    <w:rsid w:val="00B23359"/>
    <w:rsid w:val="00B23E13"/>
    <w:rsid w:val="00B23F18"/>
    <w:rsid w:val="00B24AB5"/>
    <w:rsid w:val="00B24D12"/>
    <w:rsid w:val="00B26403"/>
    <w:rsid w:val="00B268C1"/>
    <w:rsid w:val="00B26CA9"/>
    <w:rsid w:val="00B26DA3"/>
    <w:rsid w:val="00B27EBF"/>
    <w:rsid w:val="00B304B3"/>
    <w:rsid w:val="00B30FAC"/>
    <w:rsid w:val="00B32E9D"/>
    <w:rsid w:val="00B3466E"/>
    <w:rsid w:val="00B34BC1"/>
    <w:rsid w:val="00B36ACC"/>
    <w:rsid w:val="00B375DF"/>
    <w:rsid w:val="00B401B6"/>
    <w:rsid w:val="00B40235"/>
    <w:rsid w:val="00B40D1B"/>
    <w:rsid w:val="00B40E8F"/>
    <w:rsid w:val="00B429D1"/>
    <w:rsid w:val="00B44929"/>
    <w:rsid w:val="00B45C8A"/>
    <w:rsid w:val="00B469C0"/>
    <w:rsid w:val="00B47415"/>
    <w:rsid w:val="00B47E48"/>
    <w:rsid w:val="00B50B70"/>
    <w:rsid w:val="00B51A41"/>
    <w:rsid w:val="00B51D35"/>
    <w:rsid w:val="00B53047"/>
    <w:rsid w:val="00B533BD"/>
    <w:rsid w:val="00B554CE"/>
    <w:rsid w:val="00B55A57"/>
    <w:rsid w:val="00B56600"/>
    <w:rsid w:val="00B63CFC"/>
    <w:rsid w:val="00B6473D"/>
    <w:rsid w:val="00B64D35"/>
    <w:rsid w:val="00B64FC6"/>
    <w:rsid w:val="00B701A7"/>
    <w:rsid w:val="00B71575"/>
    <w:rsid w:val="00B72421"/>
    <w:rsid w:val="00B73E05"/>
    <w:rsid w:val="00B81184"/>
    <w:rsid w:val="00B81234"/>
    <w:rsid w:val="00B816AD"/>
    <w:rsid w:val="00B82D5B"/>
    <w:rsid w:val="00B85BC7"/>
    <w:rsid w:val="00B916E5"/>
    <w:rsid w:val="00B91E5D"/>
    <w:rsid w:val="00B92AE4"/>
    <w:rsid w:val="00B93960"/>
    <w:rsid w:val="00B93B59"/>
    <w:rsid w:val="00B94F3F"/>
    <w:rsid w:val="00B963A4"/>
    <w:rsid w:val="00BA078A"/>
    <w:rsid w:val="00BA19EF"/>
    <w:rsid w:val="00BA2C86"/>
    <w:rsid w:val="00BA43EF"/>
    <w:rsid w:val="00BA4428"/>
    <w:rsid w:val="00BA6933"/>
    <w:rsid w:val="00BB04B1"/>
    <w:rsid w:val="00BB1317"/>
    <w:rsid w:val="00BB3000"/>
    <w:rsid w:val="00BB35B1"/>
    <w:rsid w:val="00BB4127"/>
    <w:rsid w:val="00BB442E"/>
    <w:rsid w:val="00BB6B16"/>
    <w:rsid w:val="00BB75DA"/>
    <w:rsid w:val="00BC0DDE"/>
    <w:rsid w:val="00BC0E8E"/>
    <w:rsid w:val="00BC5034"/>
    <w:rsid w:val="00BC5A38"/>
    <w:rsid w:val="00BD3164"/>
    <w:rsid w:val="00BD6ED0"/>
    <w:rsid w:val="00BE2C0F"/>
    <w:rsid w:val="00BE3554"/>
    <w:rsid w:val="00BE4495"/>
    <w:rsid w:val="00BE596C"/>
    <w:rsid w:val="00BE71E0"/>
    <w:rsid w:val="00BE79A3"/>
    <w:rsid w:val="00BF1658"/>
    <w:rsid w:val="00BF3304"/>
    <w:rsid w:val="00BF42D9"/>
    <w:rsid w:val="00BF51B3"/>
    <w:rsid w:val="00BF57FE"/>
    <w:rsid w:val="00BF596E"/>
    <w:rsid w:val="00C01D3F"/>
    <w:rsid w:val="00C02A71"/>
    <w:rsid w:val="00C0455D"/>
    <w:rsid w:val="00C05C7F"/>
    <w:rsid w:val="00C05F7C"/>
    <w:rsid w:val="00C07070"/>
    <w:rsid w:val="00C0766F"/>
    <w:rsid w:val="00C1143D"/>
    <w:rsid w:val="00C11BC1"/>
    <w:rsid w:val="00C120AC"/>
    <w:rsid w:val="00C128F4"/>
    <w:rsid w:val="00C12AAA"/>
    <w:rsid w:val="00C1366C"/>
    <w:rsid w:val="00C146CA"/>
    <w:rsid w:val="00C21906"/>
    <w:rsid w:val="00C239B7"/>
    <w:rsid w:val="00C25708"/>
    <w:rsid w:val="00C257EA"/>
    <w:rsid w:val="00C26CAF"/>
    <w:rsid w:val="00C277FE"/>
    <w:rsid w:val="00C307FA"/>
    <w:rsid w:val="00C33849"/>
    <w:rsid w:val="00C33DA5"/>
    <w:rsid w:val="00C33DB7"/>
    <w:rsid w:val="00C3469E"/>
    <w:rsid w:val="00C364B3"/>
    <w:rsid w:val="00C37B27"/>
    <w:rsid w:val="00C37F74"/>
    <w:rsid w:val="00C4628C"/>
    <w:rsid w:val="00C523E2"/>
    <w:rsid w:val="00C528CA"/>
    <w:rsid w:val="00C5487C"/>
    <w:rsid w:val="00C55AFB"/>
    <w:rsid w:val="00C56A08"/>
    <w:rsid w:val="00C603AB"/>
    <w:rsid w:val="00C603F4"/>
    <w:rsid w:val="00C63DEA"/>
    <w:rsid w:val="00C659D2"/>
    <w:rsid w:val="00C65B0F"/>
    <w:rsid w:val="00C67C32"/>
    <w:rsid w:val="00C70DBA"/>
    <w:rsid w:val="00C712B5"/>
    <w:rsid w:val="00C72182"/>
    <w:rsid w:val="00C728FF"/>
    <w:rsid w:val="00C72AF4"/>
    <w:rsid w:val="00C73489"/>
    <w:rsid w:val="00C76C34"/>
    <w:rsid w:val="00C775AC"/>
    <w:rsid w:val="00C80D42"/>
    <w:rsid w:val="00C8149B"/>
    <w:rsid w:val="00C8221F"/>
    <w:rsid w:val="00C823E5"/>
    <w:rsid w:val="00C828A0"/>
    <w:rsid w:val="00C830BA"/>
    <w:rsid w:val="00C8537B"/>
    <w:rsid w:val="00C859D0"/>
    <w:rsid w:val="00C85B15"/>
    <w:rsid w:val="00C876FA"/>
    <w:rsid w:val="00C90176"/>
    <w:rsid w:val="00C92060"/>
    <w:rsid w:val="00C94160"/>
    <w:rsid w:val="00C96C14"/>
    <w:rsid w:val="00C96EDF"/>
    <w:rsid w:val="00C977ED"/>
    <w:rsid w:val="00C97CC0"/>
    <w:rsid w:val="00CA0905"/>
    <w:rsid w:val="00CA20F6"/>
    <w:rsid w:val="00CA35DB"/>
    <w:rsid w:val="00CA4873"/>
    <w:rsid w:val="00CA4BCB"/>
    <w:rsid w:val="00CA6509"/>
    <w:rsid w:val="00CA7A53"/>
    <w:rsid w:val="00CB09D4"/>
    <w:rsid w:val="00CB11C4"/>
    <w:rsid w:val="00CB32B2"/>
    <w:rsid w:val="00CB6B49"/>
    <w:rsid w:val="00CB7DA7"/>
    <w:rsid w:val="00CC0F52"/>
    <w:rsid w:val="00CC3908"/>
    <w:rsid w:val="00CC4B17"/>
    <w:rsid w:val="00CC5081"/>
    <w:rsid w:val="00CC6576"/>
    <w:rsid w:val="00CD1208"/>
    <w:rsid w:val="00CD2BD0"/>
    <w:rsid w:val="00CD33F8"/>
    <w:rsid w:val="00CD3DBD"/>
    <w:rsid w:val="00CD60A1"/>
    <w:rsid w:val="00CD6297"/>
    <w:rsid w:val="00CD7311"/>
    <w:rsid w:val="00CE0294"/>
    <w:rsid w:val="00CE1072"/>
    <w:rsid w:val="00CE1E17"/>
    <w:rsid w:val="00CE3C75"/>
    <w:rsid w:val="00CE5574"/>
    <w:rsid w:val="00CE5861"/>
    <w:rsid w:val="00CE5C86"/>
    <w:rsid w:val="00CE6FFB"/>
    <w:rsid w:val="00CE7B3A"/>
    <w:rsid w:val="00CF12B5"/>
    <w:rsid w:val="00CF1C9F"/>
    <w:rsid w:val="00CF2F79"/>
    <w:rsid w:val="00CF4296"/>
    <w:rsid w:val="00CF495A"/>
    <w:rsid w:val="00CF4DEB"/>
    <w:rsid w:val="00CF50F3"/>
    <w:rsid w:val="00D010CC"/>
    <w:rsid w:val="00D01FC2"/>
    <w:rsid w:val="00D026E0"/>
    <w:rsid w:val="00D02C8E"/>
    <w:rsid w:val="00D040A3"/>
    <w:rsid w:val="00D047B6"/>
    <w:rsid w:val="00D0528B"/>
    <w:rsid w:val="00D05581"/>
    <w:rsid w:val="00D07D01"/>
    <w:rsid w:val="00D07F0F"/>
    <w:rsid w:val="00D10CA7"/>
    <w:rsid w:val="00D1186A"/>
    <w:rsid w:val="00D11E85"/>
    <w:rsid w:val="00D1309D"/>
    <w:rsid w:val="00D152B7"/>
    <w:rsid w:val="00D1768B"/>
    <w:rsid w:val="00D17A4C"/>
    <w:rsid w:val="00D2080F"/>
    <w:rsid w:val="00D213B1"/>
    <w:rsid w:val="00D213EF"/>
    <w:rsid w:val="00D214CD"/>
    <w:rsid w:val="00D21D1A"/>
    <w:rsid w:val="00D22A02"/>
    <w:rsid w:val="00D22F55"/>
    <w:rsid w:val="00D22F8C"/>
    <w:rsid w:val="00D230EC"/>
    <w:rsid w:val="00D248A7"/>
    <w:rsid w:val="00D24B53"/>
    <w:rsid w:val="00D26C25"/>
    <w:rsid w:val="00D302BD"/>
    <w:rsid w:val="00D302D2"/>
    <w:rsid w:val="00D3100D"/>
    <w:rsid w:val="00D31263"/>
    <w:rsid w:val="00D318B6"/>
    <w:rsid w:val="00D32058"/>
    <w:rsid w:val="00D37D56"/>
    <w:rsid w:val="00D37EC3"/>
    <w:rsid w:val="00D41836"/>
    <w:rsid w:val="00D41856"/>
    <w:rsid w:val="00D42EA6"/>
    <w:rsid w:val="00D44525"/>
    <w:rsid w:val="00D46F5A"/>
    <w:rsid w:val="00D508FA"/>
    <w:rsid w:val="00D51FD6"/>
    <w:rsid w:val="00D528F6"/>
    <w:rsid w:val="00D52EF8"/>
    <w:rsid w:val="00D531E8"/>
    <w:rsid w:val="00D53287"/>
    <w:rsid w:val="00D53757"/>
    <w:rsid w:val="00D547B6"/>
    <w:rsid w:val="00D5522E"/>
    <w:rsid w:val="00D55725"/>
    <w:rsid w:val="00D60091"/>
    <w:rsid w:val="00D607A3"/>
    <w:rsid w:val="00D61EFE"/>
    <w:rsid w:val="00D62781"/>
    <w:rsid w:val="00D628C7"/>
    <w:rsid w:val="00D62AEE"/>
    <w:rsid w:val="00D66943"/>
    <w:rsid w:val="00D7048F"/>
    <w:rsid w:val="00D70A09"/>
    <w:rsid w:val="00D7325A"/>
    <w:rsid w:val="00D7375B"/>
    <w:rsid w:val="00D809A6"/>
    <w:rsid w:val="00D8147C"/>
    <w:rsid w:val="00D827F7"/>
    <w:rsid w:val="00D828D6"/>
    <w:rsid w:val="00D82AFE"/>
    <w:rsid w:val="00D83DB3"/>
    <w:rsid w:val="00D845E9"/>
    <w:rsid w:val="00D85DB6"/>
    <w:rsid w:val="00D908F6"/>
    <w:rsid w:val="00D92BAB"/>
    <w:rsid w:val="00D95AD5"/>
    <w:rsid w:val="00D95B45"/>
    <w:rsid w:val="00D95C0A"/>
    <w:rsid w:val="00D960B2"/>
    <w:rsid w:val="00D97B48"/>
    <w:rsid w:val="00D97BEC"/>
    <w:rsid w:val="00DA0BB6"/>
    <w:rsid w:val="00DA1EC8"/>
    <w:rsid w:val="00DA4FC2"/>
    <w:rsid w:val="00DA5F4A"/>
    <w:rsid w:val="00DA7519"/>
    <w:rsid w:val="00DB0513"/>
    <w:rsid w:val="00DB17E3"/>
    <w:rsid w:val="00DB7C1F"/>
    <w:rsid w:val="00DC0853"/>
    <w:rsid w:val="00DC0B24"/>
    <w:rsid w:val="00DC1E93"/>
    <w:rsid w:val="00DC1F0E"/>
    <w:rsid w:val="00DC1FBF"/>
    <w:rsid w:val="00DC297A"/>
    <w:rsid w:val="00DC470B"/>
    <w:rsid w:val="00DC56BE"/>
    <w:rsid w:val="00DC5DD0"/>
    <w:rsid w:val="00DC606B"/>
    <w:rsid w:val="00DD13DB"/>
    <w:rsid w:val="00DD2E31"/>
    <w:rsid w:val="00DD338A"/>
    <w:rsid w:val="00DD3FE0"/>
    <w:rsid w:val="00DD5B76"/>
    <w:rsid w:val="00DD6188"/>
    <w:rsid w:val="00DE0228"/>
    <w:rsid w:val="00DE2DCA"/>
    <w:rsid w:val="00DE4477"/>
    <w:rsid w:val="00DE57FD"/>
    <w:rsid w:val="00DE5CE1"/>
    <w:rsid w:val="00DE6AA2"/>
    <w:rsid w:val="00DF1081"/>
    <w:rsid w:val="00DF18FA"/>
    <w:rsid w:val="00DF1FC5"/>
    <w:rsid w:val="00DF26A0"/>
    <w:rsid w:val="00DF4B11"/>
    <w:rsid w:val="00DF4BE6"/>
    <w:rsid w:val="00DF5520"/>
    <w:rsid w:val="00DF682A"/>
    <w:rsid w:val="00DF6A57"/>
    <w:rsid w:val="00DF6E03"/>
    <w:rsid w:val="00DF6E85"/>
    <w:rsid w:val="00DF761A"/>
    <w:rsid w:val="00E00CCF"/>
    <w:rsid w:val="00E02199"/>
    <w:rsid w:val="00E0232F"/>
    <w:rsid w:val="00E03ADF"/>
    <w:rsid w:val="00E11738"/>
    <w:rsid w:val="00E136E4"/>
    <w:rsid w:val="00E13B91"/>
    <w:rsid w:val="00E16EB1"/>
    <w:rsid w:val="00E227EE"/>
    <w:rsid w:val="00E230B1"/>
    <w:rsid w:val="00E2311E"/>
    <w:rsid w:val="00E2441F"/>
    <w:rsid w:val="00E24D4D"/>
    <w:rsid w:val="00E275BF"/>
    <w:rsid w:val="00E3031D"/>
    <w:rsid w:val="00E3055D"/>
    <w:rsid w:val="00E31CC5"/>
    <w:rsid w:val="00E3399E"/>
    <w:rsid w:val="00E33AF9"/>
    <w:rsid w:val="00E3601C"/>
    <w:rsid w:val="00E379BF"/>
    <w:rsid w:val="00E37CC5"/>
    <w:rsid w:val="00E40D3A"/>
    <w:rsid w:val="00E42323"/>
    <w:rsid w:val="00E427EC"/>
    <w:rsid w:val="00E43663"/>
    <w:rsid w:val="00E444C8"/>
    <w:rsid w:val="00E4504C"/>
    <w:rsid w:val="00E459BB"/>
    <w:rsid w:val="00E459DC"/>
    <w:rsid w:val="00E4602C"/>
    <w:rsid w:val="00E4754E"/>
    <w:rsid w:val="00E47D07"/>
    <w:rsid w:val="00E50A64"/>
    <w:rsid w:val="00E50BE6"/>
    <w:rsid w:val="00E52432"/>
    <w:rsid w:val="00E52798"/>
    <w:rsid w:val="00E560BA"/>
    <w:rsid w:val="00E56A13"/>
    <w:rsid w:val="00E56E02"/>
    <w:rsid w:val="00E5747E"/>
    <w:rsid w:val="00E6085A"/>
    <w:rsid w:val="00E60DE6"/>
    <w:rsid w:val="00E615D5"/>
    <w:rsid w:val="00E63BCC"/>
    <w:rsid w:val="00E658F9"/>
    <w:rsid w:val="00E67488"/>
    <w:rsid w:val="00E70461"/>
    <w:rsid w:val="00E73210"/>
    <w:rsid w:val="00E7323F"/>
    <w:rsid w:val="00E73CED"/>
    <w:rsid w:val="00E75141"/>
    <w:rsid w:val="00E77680"/>
    <w:rsid w:val="00E82979"/>
    <w:rsid w:val="00E86178"/>
    <w:rsid w:val="00E867B8"/>
    <w:rsid w:val="00E90FC1"/>
    <w:rsid w:val="00E91AB7"/>
    <w:rsid w:val="00E924F9"/>
    <w:rsid w:val="00E92D36"/>
    <w:rsid w:val="00E93766"/>
    <w:rsid w:val="00E95DFC"/>
    <w:rsid w:val="00E965F7"/>
    <w:rsid w:val="00E96823"/>
    <w:rsid w:val="00E972F6"/>
    <w:rsid w:val="00E97A92"/>
    <w:rsid w:val="00EA0B32"/>
    <w:rsid w:val="00EA0FEC"/>
    <w:rsid w:val="00EA30D2"/>
    <w:rsid w:val="00EA5549"/>
    <w:rsid w:val="00EA672B"/>
    <w:rsid w:val="00EA68A4"/>
    <w:rsid w:val="00EA76CC"/>
    <w:rsid w:val="00EB0755"/>
    <w:rsid w:val="00EB0A4B"/>
    <w:rsid w:val="00EB0F14"/>
    <w:rsid w:val="00EB4454"/>
    <w:rsid w:val="00EB5770"/>
    <w:rsid w:val="00EB5DC2"/>
    <w:rsid w:val="00EB6A56"/>
    <w:rsid w:val="00EB7B20"/>
    <w:rsid w:val="00EC0544"/>
    <w:rsid w:val="00EC1DBF"/>
    <w:rsid w:val="00EC265C"/>
    <w:rsid w:val="00EC416B"/>
    <w:rsid w:val="00EC5B18"/>
    <w:rsid w:val="00ED05E9"/>
    <w:rsid w:val="00ED2DFE"/>
    <w:rsid w:val="00ED2F7A"/>
    <w:rsid w:val="00ED3E23"/>
    <w:rsid w:val="00ED447F"/>
    <w:rsid w:val="00EE0771"/>
    <w:rsid w:val="00EE0BB1"/>
    <w:rsid w:val="00EE1806"/>
    <w:rsid w:val="00EE1FFB"/>
    <w:rsid w:val="00EE7A58"/>
    <w:rsid w:val="00EF208C"/>
    <w:rsid w:val="00EF2DCB"/>
    <w:rsid w:val="00EF3515"/>
    <w:rsid w:val="00EF3530"/>
    <w:rsid w:val="00EF3A86"/>
    <w:rsid w:val="00EF494D"/>
    <w:rsid w:val="00EF5E23"/>
    <w:rsid w:val="00F0241C"/>
    <w:rsid w:val="00F02E39"/>
    <w:rsid w:val="00F03693"/>
    <w:rsid w:val="00F11306"/>
    <w:rsid w:val="00F1296F"/>
    <w:rsid w:val="00F12F2F"/>
    <w:rsid w:val="00F1529B"/>
    <w:rsid w:val="00F16EBA"/>
    <w:rsid w:val="00F202CD"/>
    <w:rsid w:val="00F205FB"/>
    <w:rsid w:val="00F22609"/>
    <w:rsid w:val="00F22E2E"/>
    <w:rsid w:val="00F23E84"/>
    <w:rsid w:val="00F30FDC"/>
    <w:rsid w:val="00F31642"/>
    <w:rsid w:val="00F32340"/>
    <w:rsid w:val="00F34437"/>
    <w:rsid w:val="00F34AAA"/>
    <w:rsid w:val="00F3585F"/>
    <w:rsid w:val="00F401E1"/>
    <w:rsid w:val="00F40358"/>
    <w:rsid w:val="00F404F4"/>
    <w:rsid w:val="00F408A5"/>
    <w:rsid w:val="00F41CA6"/>
    <w:rsid w:val="00F41D8E"/>
    <w:rsid w:val="00F42253"/>
    <w:rsid w:val="00F42EA5"/>
    <w:rsid w:val="00F436E7"/>
    <w:rsid w:val="00F45AAF"/>
    <w:rsid w:val="00F53144"/>
    <w:rsid w:val="00F55BAE"/>
    <w:rsid w:val="00F573A0"/>
    <w:rsid w:val="00F619E2"/>
    <w:rsid w:val="00F6231E"/>
    <w:rsid w:val="00F636DD"/>
    <w:rsid w:val="00F66BDD"/>
    <w:rsid w:val="00F6714D"/>
    <w:rsid w:val="00F71AA8"/>
    <w:rsid w:val="00F73144"/>
    <w:rsid w:val="00F748A1"/>
    <w:rsid w:val="00F748E6"/>
    <w:rsid w:val="00F75381"/>
    <w:rsid w:val="00F756B2"/>
    <w:rsid w:val="00F765A6"/>
    <w:rsid w:val="00F80036"/>
    <w:rsid w:val="00F80759"/>
    <w:rsid w:val="00F81379"/>
    <w:rsid w:val="00F81A44"/>
    <w:rsid w:val="00F83198"/>
    <w:rsid w:val="00F8380F"/>
    <w:rsid w:val="00F85D5B"/>
    <w:rsid w:val="00F874CA"/>
    <w:rsid w:val="00F87515"/>
    <w:rsid w:val="00F909DB"/>
    <w:rsid w:val="00F90C03"/>
    <w:rsid w:val="00F91D84"/>
    <w:rsid w:val="00F91EF1"/>
    <w:rsid w:val="00F92060"/>
    <w:rsid w:val="00F93745"/>
    <w:rsid w:val="00F94A96"/>
    <w:rsid w:val="00F95C4E"/>
    <w:rsid w:val="00F962FF"/>
    <w:rsid w:val="00F96E6F"/>
    <w:rsid w:val="00F97789"/>
    <w:rsid w:val="00FA12EE"/>
    <w:rsid w:val="00FA17CF"/>
    <w:rsid w:val="00FA37F4"/>
    <w:rsid w:val="00FA41AB"/>
    <w:rsid w:val="00FA4E97"/>
    <w:rsid w:val="00FA671A"/>
    <w:rsid w:val="00FB0F71"/>
    <w:rsid w:val="00FB139B"/>
    <w:rsid w:val="00FB22B5"/>
    <w:rsid w:val="00FB22F6"/>
    <w:rsid w:val="00FB366D"/>
    <w:rsid w:val="00FB42C4"/>
    <w:rsid w:val="00FB459D"/>
    <w:rsid w:val="00FB49E8"/>
    <w:rsid w:val="00FB4BF2"/>
    <w:rsid w:val="00FB4D6A"/>
    <w:rsid w:val="00FB57A3"/>
    <w:rsid w:val="00FB5D66"/>
    <w:rsid w:val="00FB61AE"/>
    <w:rsid w:val="00FB7D09"/>
    <w:rsid w:val="00FC22BD"/>
    <w:rsid w:val="00FC31C5"/>
    <w:rsid w:val="00FC37A5"/>
    <w:rsid w:val="00FC3A8A"/>
    <w:rsid w:val="00FC5BFC"/>
    <w:rsid w:val="00FC63DE"/>
    <w:rsid w:val="00FC66B9"/>
    <w:rsid w:val="00FC6BD0"/>
    <w:rsid w:val="00FD0B30"/>
    <w:rsid w:val="00FD26F7"/>
    <w:rsid w:val="00FD29F8"/>
    <w:rsid w:val="00FD36CC"/>
    <w:rsid w:val="00FD3EDF"/>
    <w:rsid w:val="00FD485A"/>
    <w:rsid w:val="00FD5C0B"/>
    <w:rsid w:val="00FD617E"/>
    <w:rsid w:val="00FD74B8"/>
    <w:rsid w:val="00FE2287"/>
    <w:rsid w:val="00FE3AD4"/>
    <w:rsid w:val="00FE3CA8"/>
    <w:rsid w:val="00FF10C7"/>
    <w:rsid w:val="00FF1AE7"/>
    <w:rsid w:val="00FF4B55"/>
    <w:rsid w:val="00FF4F28"/>
    <w:rsid w:val="00FF4F3D"/>
    <w:rsid w:val="00FF5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66DF"/>
  <w15:docId w15:val="{E7FADED0-0557-4E54-AEC9-4A5437CC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8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AE"/>
    <w:pPr>
      <w:ind w:left="720"/>
      <w:contextualSpacing/>
    </w:pPr>
  </w:style>
  <w:style w:type="paragraph" w:styleId="BalloonText">
    <w:name w:val="Balloon Text"/>
    <w:basedOn w:val="Normal"/>
    <w:link w:val="BalloonTextChar"/>
    <w:uiPriority w:val="99"/>
    <w:semiHidden/>
    <w:unhideWhenUsed/>
    <w:rsid w:val="00DD2E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31"/>
    <w:rPr>
      <w:rFonts w:ascii="Segoe UI" w:hAnsi="Segoe UI" w:cs="Segoe UI"/>
      <w:sz w:val="18"/>
      <w:szCs w:val="18"/>
    </w:rPr>
  </w:style>
  <w:style w:type="table" w:styleId="TableGrid">
    <w:name w:val="Table Grid"/>
    <w:basedOn w:val="TableNormal"/>
    <w:uiPriority w:val="39"/>
    <w:rsid w:val="00E9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962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F9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62FF"/>
    <w:rPr>
      <w:rFonts w:ascii="Courier New" w:eastAsia="Times New Roman" w:hAnsi="Courier New" w:cs="Courier New"/>
      <w:sz w:val="20"/>
      <w:szCs w:val="20"/>
    </w:rPr>
  </w:style>
  <w:style w:type="character" w:customStyle="1" w:styleId="gnkrckgcgsb">
    <w:name w:val="gnkrckgcgsb"/>
    <w:basedOn w:val="DefaultParagraphFont"/>
    <w:rsid w:val="00F962FF"/>
  </w:style>
  <w:style w:type="paragraph" w:customStyle="1" w:styleId="EndNoteBibliographyTitle">
    <w:name w:val="EndNote Bibliography Title"/>
    <w:basedOn w:val="Normal"/>
    <w:link w:val="EndNoteBibliographyTitleChar"/>
    <w:rsid w:val="007C751F"/>
    <w:pPr>
      <w:jc w:val="center"/>
    </w:pPr>
    <w:rPr>
      <w:rFonts w:cs="Times New Roman"/>
      <w:noProof/>
    </w:rPr>
  </w:style>
  <w:style w:type="character" w:customStyle="1" w:styleId="EndNoteBibliographyTitleChar">
    <w:name w:val="EndNote Bibliography Title Char"/>
    <w:basedOn w:val="DefaultParagraphFont"/>
    <w:link w:val="EndNoteBibliographyTitle"/>
    <w:rsid w:val="007C751F"/>
    <w:rPr>
      <w:rFonts w:ascii="Times New Roman" w:hAnsi="Times New Roman" w:cs="Times New Roman"/>
      <w:noProof/>
      <w:sz w:val="24"/>
    </w:rPr>
  </w:style>
  <w:style w:type="paragraph" w:customStyle="1" w:styleId="EndNoteBibliography">
    <w:name w:val="EndNote Bibliography"/>
    <w:basedOn w:val="Normal"/>
    <w:link w:val="EndNoteBibliographyChar"/>
    <w:rsid w:val="007C751F"/>
    <w:rPr>
      <w:rFonts w:cs="Times New Roman"/>
      <w:noProof/>
    </w:rPr>
  </w:style>
  <w:style w:type="character" w:customStyle="1" w:styleId="EndNoteBibliographyChar">
    <w:name w:val="EndNote Bibliography Char"/>
    <w:basedOn w:val="DefaultParagraphFont"/>
    <w:link w:val="EndNoteBibliography"/>
    <w:rsid w:val="007C751F"/>
    <w:rPr>
      <w:rFonts w:ascii="Times New Roman" w:hAnsi="Times New Roman" w:cs="Times New Roman"/>
      <w:noProof/>
      <w:sz w:val="24"/>
    </w:rPr>
  </w:style>
  <w:style w:type="character" w:styleId="LineNumber">
    <w:name w:val="line number"/>
    <w:basedOn w:val="DefaultParagraphFont"/>
    <w:uiPriority w:val="99"/>
    <w:semiHidden/>
    <w:unhideWhenUsed/>
    <w:rsid w:val="00A96EB1"/>
  </w:style>
  <w:style w:type="character" w:styleId="Hyperlink">
    <w:name w:val="Hyperlink"/>
    <w:basedOn w:val="DefaultParagraphFont"/>
    <w:uiPriority w:val="99"/>
    <w:unhideWhenUsed/>
    <w:rsid w:val="00C712B5"/>
    <w:rPr>
      <w:color w:val="0563C1" w:themeColor="hyperlink"/>
      <w:u w:val="single"/>
    </w:rPr>
  </w:style>
  <w:style w:type="character" w:customStyle="1" w:styleId="UnresolvedMention1">
    <w:name w:val="Unresolved Mention1"/>
    <w:basedOn w:val="DefaultParagraphFont"/>
    <w:uiPriority w:val="99"/>
    <w:semiHidden/>
    <w:unhideWhenUsed/>
    <w:rsid w:val="00C712B5"/>
    <w:rPr>
      <w:color w:val="605E5C"/>
      <w:shd w:val="clear" w:color="auto" w:fill="E1DFDD"/>
    </w:rPr>
  </w:style>
  <w:style w:type="paragraph" w:styleId="Header">
    <w:name w:val="header"/>
    <w:basedOn w:val="Normal"/>
    <w:link w:val="HeaderChar"/>
    <w:uiPriority w:val="99"/>
    <w:unhideWhenUsed/>
    <w:rsid w:val="0078176D"/>
    <w:pPr>
      <w:tabs>
        <w:tab w:val="center" w:pos="4320"/>
        <w:tab w:val="right" w:pos="8640"/>
      </w:tabs>
      <w:spacing w:line="240" w:lineRule="auto"/>
    </w:pPr>
  </w:style>
  <w:style w:type="character" w:customStyle="1" w:styleId="HeaderChar">
    <w:name w:val="Header Char"/>
    <w:basedOn w:val="DefaultParagraphFont"/>
    <w:link w:val="Header"/>
    <w:uiPriority w:val="99"/>
    <w:rsid w:val="0078176D"/>
    <w:rPr>
      <w:rFonts w:ascii="Times New Roman" w:hAnsi="Times New Roman"/>
      <w:sz w:val="24"/>
    </w:rPr>
  </w:style>
  <w:style w:type="paragraph" w:styleId="Footer">
    <w:name w:val="footer"/>
    <w:basedOn w:val="Normal"/>
    <w:link w:val="FooterChar"/>
    <w:uiPriority w:val="99"/>
    <w:unhideWhenUsed/>
    <w:rsid w:val="0078176D"/>
    <w:pPr>
      <w:tabs>
        <w:tab w:val="center" w:pos="4320"/>
        <w:tab w:val="right" w:pos="8640"/>
      </w:tabs>
      <w:spacing w:line="240" w:lineRule="auto"/>
    </w:pPr>
  </w:style>
  <w:style w:type="character" w:customStyle="1" w:styleId="FooterChar">
    <w:name w:val="Footer Char"/>
    <w:basedOn w:val="DefaultParagraphFont"/>
    <w:link w:val="Footer"/>
    <w:uiPriority w:val="99"/>
    <w:rsid w:val="0078176D"/>
    <w:rPr>
      <w:rFonts w:ascii="Times New Roman" w:hAnsi="Times New Roman"/>
      <w:sz w:val="24"/>
    </w:rPr>
  </w:style>
  <w:style w:type="character" w:styleId="CommentReference">
    <w:name w:val="annotation reference"/>
    <w:basedOn w:val="DefaultParagraphFont"/>
    <w:uiPriority w:val="99"/>
    <w:semiHidden/>
    <w:unhideWhenUsed/>
    <w:rsid w:val="007C5F70"/>
    <w:rPr>
      <w:sz w:val="16"/>
      <w:szCs w:val="16"/>
    </w:rPr>
  </w:style>
  <w:style w:type="paragraph" w:styleId="CommentText">
    <w:name w:val="annotation text"/>
    <w:basedOn w:val="Normal"/>
    <w:link w:val="CommentTextChar"/>
    <w:uiPriority w:val="99"/>
    <w:semiHidden/>
    <w:unhideWhenUsed/>
    <w:rsid w:val="007C5F70"/>
    <w:pPr>
      <w:spacing w:line="240" w:lineRule="auto"/>
    </w:pPr>
    <w:rPr>
      <w:sz w:val="20"/>
      <w:szCs w:val="20"/>
    </w:rPr>
  </w:style>
  <w:style w:type="character" w:customStyle="1" w:styleId="CommentTextChar">
    <w:name w:val="Comment Text Char"/>
    <w:basedOn w:val="DefaultParagraphFont"/>
    <w:link w:val="CommentText"/>
    <w:uiPriority w:val="99"/>
    <w:semiHidden/>
    <w:rsid w:val="007C5F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5F70"/>
    <w:rPr>
      <w:b/>
      <w:bCs/>
    </w:rPr>
  </w:style>
  <w:style w:type="character" w:customStyle="1" w:styleId="CommentSubjectChar">
    <w:name w:val="Comment Subject Char"/>
    <w:basedOn w:val="CommentTextChar"/>
    <w:link w:val="CommentSubject"/>
    <w:uiPriority w:val="99"/>
    <w:semiHidden/>
    <w:rsid w:val="007C5F70"/>
    <w:rPr>
      <w:rFonts w:ascii="Times New Roman" w:hAnsi="Times New Roman"/>
      <w:b/>
      <w:bCs/>
      <w:sz w:val="20"/>
      <w:szCs w:val="20"/>
    </w:rPr>
  </w:style>
  <w:style w:type="paragraph" w:styleId="Revision">
    <w:name w:val="Revision"/>
    <w:hidden/>
    <w:uiPriority w:val="99"/>
    <w:semiHidden/>
    <w:rsid w:val="007A39ED"/>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2C06AB"/>
    <w:rPr>
      <w:color w:val="605E5C"/>
      <w:shd w:val="clear" w:color="auto" w:fill="E1DFDD"/>
    </w:rPr>
  </w:style>
  <w:style w:type="character" w:customStyle="1" w:styleId="UnresolvedMention3">
    <w:name w:val="Unresolved Mention3"/>
    <w:basedOn w:val="DefaultParagraphFont"/>
    <w:uiPriority w:val="99"/>
    <w:rsid w:val="009E5EA6"/>
    <w:rPr>
      <w:color w:val="605E5C"/>
      <w:shd w:val="clear" w:color="auto" w:fill="E1DFDD"/>
    </w:rPr>
  </w:style>
  <w:style w:type="character" w:customStyle="1" w:styleId="UnresolvedMention4">
    <w:name w:val="Unresolved Mention4"/>
    <w:basedOn w:val="DefaultParagraphFont"/>
    <w:uiPriority w:val="99"/>
    <w:semiHidden/>
    <w:unhideWhenUsed/>
    <w:rsid w:val="00E90FC1"/>
    <w:rPr>
      <w:color w:val="605E5C"/>
      <w:shd w:val="clear" w:color="auto" w:fill="E1DFDD"/>
    </w:rPr>
  </w:style>
  <w:style w:type="character" w:customStyle="1" w:styleId="UnresolvedMention5">
    <w:name w:val="Unresolved Mention5"/>
    <w:basedOn w:val="DefaultParagraphFont"/>
    <w:uiPriority w:val="99"/>
    <w:semiHidden/>
    <w:unhideWhenUsed/>
    <w:rsid w:val="008A7D20"/>
    <w:rPr>
      <w:color w:val="605E5C"/>
      <w:shd w:val="clear" w:color="auto" w:fill="E1DFDD"/>
    </w:rPr>
  </w:style>
  <w:style w:type="character" w:styleId="FollowedHyperlink">
    <w:name w:val="FollowedHyperlink"/>
    <w:basedOn w:val="DefaultParagraphFont"/>
    <w:uiPriority w:val="99"/>
    <w:semiHidden/>
    <w:unhideWhenUsed/>
    <w:rsid w:val="00885610"/>
    <w:rPr>
      <w:color w:val="954F72" w:themeColor="followedHyperlink"/>
      <w:u w:val="single"/>
    </w:rPr>
  </w:style>
  <w:style w:type="character" w:customStyle="1" w:styleId="UnresolvedMention6">
    <w:name w:val="Unresolved Mention6"/>
    <w:basedOn w:val="DefaultParagraphFont"/>
    <w:uiPriority w:val="99"/>
    <w:semiHidden/>
    <w:unhideWhenUsed/>
    <w:rsid w:val="00691DD3"/>
    <w:rPr>
      <w:color w:val="605E5C"/>
      <w:shd w:val="clear" w:color="auto" w:fill="E1DFDD"/>
    </w:rPr>
  </w:style>
  <w:style w:type="paragraph" w:customStyle="1" w:styleId="EndNoteCategoryHeading">
    <w:name w:val="EndNote Category Heading"/>
    <w:basedOn w:val="Normal"/>
    <w:link w:val="EndNoteCategoryHeadingChar"/>
    <w:rsid w:val="009E0493"/>
    <w:pPr>
      <w:spacing w:before="120" w:after="120"/>
    </w:pPr>
    <w:rPr>
      <w:b/>
      <w:noProof/>
    </w:rPr>
  </w:style>
  <w:style w:type="character" w:customStyle="1" w:styleId="EndNoteCategoryHeadingChar">
    <w:name w:val="EndNote Category Heading Char"/>
    <w:basedOn w:val="EndNoteBibliographyTitleChar"/>
    <w:link w:val="EndNoteCategoryHeading"/>
    <w:rsid w:val="009E0493"/>
    <w:rPr>
      <w:rFonts w:ascii="Times New Roman" w:hAnsi="Times New Roman" w:cs="Times New Roman"/>
      <w:b/>
      <w:noProof/>
      <w:sz w:val="24"/>
    </w:rPr>
  </w:style>
  <w:style w:type="character" w:customStyle="1" w:styleId="UnresolvedMention7">
    <w:name w:val="Unresolved Mention7"/>
    <w:basedOn w:val="DefaultParagraphFont"/>
    <w:uiPriority w:val="99"/>
    <w:semiHidden/>
    <w:unhideWhenUsed/>
    <w:rsid w:val="001E73C5"/>
    <w:rPr>
      <w:color w:val="605E5C"/>
      <w:shd w:val="clear" w:color="auto" w:fill="E1DFDD"/>
    </w:rPr>
  </w:style>
  <w:style w:type="character" w:customStyle="1" w:styleId="UnresolvedMention8">
    <w:name w:val="Unresolved Mention8"/>
    <w:basedOn w:val="DefaultParagraphFont"/>
    <w:uiPriority w:val="99"/>
    <w:semiHidden/>
    <w:unhideWhenUsed/>
    <w:rsid w:val="003D07F6"/>
    <w:rPr>
      <w:color w:val="605E5C"/>
      <w:shd w:val="clear" w:color="auto" w:fill="E1DFDD"/>
    </w:rPr>
  </w:style>
  <w:style w:type="character" w:customStyle="1" w:styleId="UnresolvedMention9">
    <w:name w:val="Unresolved Mention9"/>
    <w:basedOn w:val="DefaultParagraphFont"/>
    <w:uiPriority w:val="99"/>
    <w:semiHidden/>
    <w:unhideWhenUsed/>
    <w:rsid w:val="00435692"/>
    <w:rPr>
      <w:color w:val="605E5C"/>
      <w:shd w:val="clear" w:color="auto" w:fill="E1DFDD"/>
    </w:rPr>
  </w:style>
  <w:style w:type="character" w:customStyle="1" w:styleId="UnresolvedMention10">
    <w:name w:val="Unresolved Mention10"/>
    <w:basedOn w:val="DefaultParagraphFont"/>
    <w:uiPriority w:val="99"/>
    <w:semiHidden/>
    <w:unhideWhenUsed/>
    <w:rsid w:val="00C0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4591">
      <w:bodyDiv w:val="1"/>
      <w:marLeft w:val="0"/>
      <w:marRight w:val="0"/>
      <w:marTop w:val="0"/>
      <w:marBottom w:val="0"/>
      <w:divBdr>
        <w:top w:val="none" w:sz="0" w:space="0" w:color="auto"/>
        <w:left w:val="none" w:sz="0" w:space="0" w:color="auto"/>
        <w:bottom w:val="none" w:sz="0" w:space="0" w:color="auto"/>
        <w:right w:val="none" w:sz="0" w:space="0" w:color="auto"/>
      </w:divBdr>
    </w:div>
    <w:div w:id="102967692">
      <w:bodyDiv w:val="1"/>
      <w:marLeft w:val="0"/>
      <w:marRight w:val="0"/>
      <w:marTop w:val="0"/>
      <w:marBottom w:val="0"/>
      <w:divBdr>
        <w:top w:val="none" w:sz="0" w:space="0" w:color="auto"/>
        <w:left w:val="none" w:sz="0" w:space="0" w:color="auto"/>
        <w:bottom w:val="none" w:sz="0" w:space="0" w:color="auto"/>
        <w:right w:val="none" w:sz="0" w:space="0" w:color="auto"/>
      </w:divBdr>
    </w:div>
    <w:div w:id="197596344">
      <w:bodyDiv w:val="1"/>
      <w:marLeft w:val="0"/>
      <w:marRight w:val="0"/>
      <w:marTop w:val="0"/>
      <w:marBottom w:val="0"/>
      <w:divBdr>
        <w:top w:val="none" w:sz="0" w:space="0" w:color="auto"/>
        <w:left w:val="none" w:sz="0" w:space="0" w:color="auto"/>
        <w:bottom w:val="none" w:sz="0" w:space="0" w:color="auto"/>
        <w:right w:val="none" w:sz="0" w:space="0" w:color="auto"/>
      </w:divBdr>
    </w:div>
    <w:div w:id="579562457">
      <w:bodyDiv w:val="1"/>
      <w:marLeft w:val="0"/>
      <w:marRight w:val="0"/>
      <w:marTop w:val="0"/>
      <w:marBottom w:val="0"/>
      <w:divBdr>
        <w:top w:val="none" w:sz="0" w:space="0" w:color="auto"/>
        <w:left w:val="none" w:sz="0" w:space="0" w:color="auto"/>
        <w:bottom w:val="none" w:sz="0" w:space="0" w:color="auto"/>
        <w:right w:val="none" w:sz="0" w:space="0" w:color="auto"/>
      </w:divBdr>
    </w:div>
    <w:div w:id="613095140">
      <w:bodyDiv w:val="1"/>
      <w:marLeft w:val="0"/>
      <w:marRight w:val="0"/>
      <w:marTop w:val="0"/>
      <w:marBottom w:val="0"/>
      <w:divBdr>
        <w:top w:val="none" w:sz="0" w:space="0" w:color="auto"/>
        <w:left w:val="none" w:sz="0" w:space="0" w:color="auto"/>
        <w:bottom w:val="none" w:sz="0" w:space="0" w:color="auto"/>
        <w:right w:val="none" w:sz="0" w:space="0" w:color="auto"/>
      </w:divBdr>
      <w:divsChild>
        <w:div w:id="1201550130">
          <w:marLeft w:val="0"/>
          <w:marRight w:val="0"/>
          <w:marTop w:val="0"/>
          <w:marBottom w:val="0"/>
          <w:divBdr>
            <w:top w:val="none" w:sz="0" w:space="0" w:color="auto"/>
            <w:left w:val="none" w:sz="0" w:space="0" w:color="auto"/>
            <w:bottom w:val="none" w:sz="0" w:space="0" w:color="auto"/>
            <w:right w:val="none" w:sz="0" w:space="0" w:color="auto"/>
          </w:divBdr>
        </w:div>
      </w:divsChild>
    </w:div>
    <w:div w:id="652829431">
      <w:bodyDiv w:val="1"/>
      <w:marLeft w:val="0"/>
      <w:marRight w:val="0"/>
      <w:marTop w:val="0"/>
      <w:marBottom w:val="0"/>
      <w:divBdr>
        <w:top w:val="none" w:sz="0" w:space="0" w:color="auto"/>
        <w:left w:val="none" w:sz="0" w:space="0" w:color="auto"/>
        <w:bottom w:val="none" w:sz="0" w:space="0" w:color="auto"/>
        <w:right w:val="none" w:sz="0" w:space="0" w:color="auto"/>
      </w:divBdr>
    </w:div>
    <w:div w:id="680204970">
      <w:bodyDiv w:val="1"/>
      <w:marLeft w:val="0"/>
      <w:marRight w:val="0"/>
      <w:marTop w:val="0"/>
      <w:marBottom w:val="0"/>
      <w:divBdr>
        <w:top w:val="none" w:sz="0" w:space="0" w:color="auto"/>
        <w:left w:val="none" w:sz="0" w:space="0" w:color="auto"/>
        <w:bottom w:val="none" w:sz="0" w:space="0" w:color="auto"/>
        <w:right w:val="none" w:sz="0" w:space="0" w:color="auto"/>
      </w:divBdr>
    </w:div>
    <w:div w:id="794565194">
      <w:bodyDiv w:val="1"/>
      <w:marLeft w:val="0"/>
      <w:marRight w:val="0"/>
      <w:marTop w:val="0"/>
      <w:marBottom w:val="0"/>
      <w:divBdr>
        <w:top w:val="none" w:sz="0" w:space="0" w:color="auto"/>
        <w:left w:val="none" w:sz="0" w:space="0" w:color="auto"/>
        <w:bottom w:val="none" w:sz="0" w:space="0" w:color="auto"/>
        <w:right w:val="none" w:sz="0" w:space="0" w:color="auto"/>
      </w:divBdr>
    </w:div>
    <w:div w:id="795610663">
      <w:bodyDiv w:val="1"/>
      <w:marLeft w:val="0"/>
      <w:marRight w:val="0"/>
      <w:marTop w:val="0"/>
      <w:marBottom w:val="0"/>
      <w:divBdr>
        <w:top w:val="none" w:sz="0" w:space="0" w:color="auto"/>
        <w:left w:val="none" w:sz="0" w:space="0" w:color="auto"/>
        <w:bottom w:val="none" w:sz="0" w:space="0" w:color="auto"/>
        <w:right w:val="none" w:sz="0" w:space="0" w:color="auto"/>
      </w:divBdr>
    </w:div>
    <w:div w:id="968976961">
      <w:bodyDiv w:val="1"/>
      <w:marLeft w:val="0"/>
      <w:marRight w:val="0"/>
      <w:marTop w:val="0"/>
      <w:marBottom w:val="0"/>
      <w:divBdr>
        <w:top w:val="none" w:sz="0" w:space="0" w:color="auto"/>
        <w:left w:val="none" w:sz="0" w:space="0" w:color="auto"/>
        <w:bottom w:val="none" w:sz="0" w:space="0" w:color="auto"/>
        <w:right w:val="none" w:sz="0" w:space="0" w:color="auto"/>
      </w:divBdr>
    </w:div>
    <w:div w:id="1269386627">
      <w:bodyDiv w:val="1"/>
      <w:marLeft w:val="0"/>
      <w:marRight w:val="0"/>
      <w:marTop w:val="0"/>
      <w:marBottom w:val="0"/>
      <w:divBdr>
        <w:top w:val="none" w:sz="0" w:space="0" w:color="auto"/>
        <w:left w:val="none" w:sz="0" w:space="0" w:color="auto"/>
        <w:bottom w:val="none" w:sz="0" w:space="0" w:color="auto"/>
        <w:right w:val="none" w:sz="0" w:space="0" w:color="auto"/>
      </w:divBdr>
    </w:div>
    <w:div w:id="1306815126">
      <w:bodyDiv w:val="1"/>
      <w:marLeft w:val="0"/>
      <w:marRight w:val="0"/>
      <w:marTop w:val="0"/>
      <w:marBottom w:val="0"/>
      <w:divBdr>
        <w:top w:val="none" w:sz="0" w:space="0" w:color="auto"/>
        <w:left w:val="none" w:sz="0" w:space="0" w:color="auto"/>
        <w:bottom w:val="none" w:sz="0" w:space="0" w:color="auto"/>
        <w:right w:val="none" w:sz="0" w:space="0" w:color="auto"/>
      </w:divBdr>
    </w:div>
    <w:div w:id="1541283546">
      <w:bodyDiv w:val="1"/>
      <w:marLeft w:val="0"/>
      <w:marRight w:val="0"/>
      <w:marTop w:val="0"/>
      <w:marBottom w:val="0"/>
      <w:divBdr>
        <w:top w:val="none" w:sz="0" w:space="0" w:color="auto"/>
        <w:left w:val="none" w:sz="0" w:space="0" w:color="auto"/>
        <w:bottom w:val="none" w:sz="0" w:space="0" w:color="auto"/>
        <w:right w:val="none" w:sz="0" w:space="0" w:color="auto"/>
      </w:divBdr>
    </w:div>
    <w:div w:id="1601988209">
      <w:bodyDiv w:val="1"/>
      <w:marLeft w:val="0"/>
      <w:marRight w:val="0"/>
      <w:marTop w:val="0"/>
      <w:marBottom w:val="0"/>
      <w:divBdr>
        <w:top w:val="none" w:sz="0" w:space="0" w:color="auto"/>
        <w:left w:val="none" w:sz="0" w:space="0" w:color="auto"/>
        <w:bottom w:val="none" w:sz="0" w:space="0" w:color="auto"/>
        <w:right w:val="none" w:sz="0" w:space="0" w:color="auto"/>
      </w:divBdr>
    </w:div>
    <w:div w:id="1732925219">
      <w:bodyDiv w:val="1"/>
      <w:marLeft w:val="0"/>
      <w:marRight w:val="0"/>
      <w:marTop w:val="0"/>
      <w:marBottom w:val="0"/>
      <w:divBdr>
        <w:top w:val="none" w:sz="0" w:space="0" w:color="auto"/>
        <w:left w:val="none" w:sz="0" w:space="0" w:color="auto"/>
        <w:bottom w:val="none" w:sz="0" w:space="0" w:color="auto"/>
        <w:right w:val="none" w:sz="0" w:space="0" w:color="auto"/>
      </w:divBdr>
    </w:div>
    <w:div w:id="1851678325">
      <w:bodyDiv w:val="1"/>
      <w:marLeft w:val="0"/>
      <w:marRight w:val="0"/>
      <w:marTop w:val="0"/>
      <w:marBottom w:val="0"/>
      <w:divBdr>
        <w:top w:val="none" w:sz="0" w:space="0" w:color="auto"/>
        <w:left w:val="none" w:sz="0" w:space="0" w:color="auto"/>
        <w:bottom w:val="none" w:sz="0" w:space="0" w:color="auto"/>
        <w:right w:val="none" w:sz="0" w:space="0" w:color="auto"/>
      </w:divBdr>
    </w:div>
    <w:div w:id="1901478536">
      <w:bodyDiv w:val="1"/>
      <w:marLeft w:val="0"/>
      <w:marRight w:val="0"/>
      <w:marTop w:val="0"/>
      <w:marBottom w:val="0"/>
      <w:divBdr>
        <w:top w:val="none" w:sz="0" w:space="0" w:color="auto"/>
        <w:left w:val="none" w:sz="0" w:space="0" w:color="auto"/>
        <w:bottom w:val="none" w:sz="0" w:space="0" w:color="auto"/>
        <w:right w:val="none" w:sz="0" w:space="0" w:color="auto"/>
      </w:divBdr>
    </w:div>
    <w:div w:id="1948391034">
      <w:bodyDiv w:val="1"/>
      <w:marLeft w:val="0"/>
      <w:marRight w:val="0"/>
      <w:marTop w:val="0"/>
      <w:marBottom w:val="0"/>
      <w:divBdr>
        <w:top w:val="none" w:sz="0" w:space="0" w:color="auto"/>
        <w:left w:val="none" w:sz="0" w:space="0" w:color="auto"/>
        <w:bottom w:val="none" w:sz="0" w:space="0" w:color="auto"/>
        <w:right w:val="none" w:sz="0" w:space="0" w:color="auto"/>
      </w:divBdr>
    </w:div>
    <w:div w:id="1957054839">
      <w:bodyDiv w:val="1"/>
      <w:marLeft w:val="0"/>
      <w:marRight w:val="0"/>
      <w:marTop w:val="0"/>
      <w:marBottom w:val="0"/>
      <w:divBdr>
        <w:top w:val="none" w:sz="0" w:space="0" w:color="auto"/>
        <w:left w:val="none" w:sz="0" w:space="0" w:color="auto"/>
        <w:bottom w:val="none" w:sz="0" w:space="0" w:color="auto"/>
        <w:right w:val="none" w:sz="0" w:space="0" w:color="auto"/>
      </w:divBdr>
    </w:div>
    <w:div w:id="1958095865">
      <w:bodyDiv w:val="1"/>
      <w:marLeft w:val="0"/>
      <w:marRight w:val="0"/>
      <w:marTop w:val="0"/>
      <w:marBottom w:val="0"/>
      <w:divBdr>
        <w:top w:val="none" w:sz="0" w:space="0" w:color="auto"/>
        <w:left w:val="none" w:sz="0" w:space="0" w:color="auto"/>
        <w:bottom w:val="none" w:sz="0" w:space="0" w:color="auto"/>
        <w:right w:val="none" w:sz="0" w:space="0" w:color="auto"/>
      </w:divBdr>
    </w:div>
    <w:div w:id="1973249589">
      <w:bodyDiv w:val="1"/>
      <w:marLeft w:val="0"/>
      <w:marRight w:val="0"/>
      <w:marTop w:val="0"/>
      <w:marBottom w:val="0"/>
      <w:divBdr>
        <w:top w:val="none" w:sz="0" w:space="0" w:color="auto"/>
        <w:left w:val="none" w:sz="0" w:space="0" w:color="auto"/>
        <w:bottom w:val="none" w:sz="0" w:space="0" w:color="auto"/>
        <w:right w:val="none" w:sz="0" w:space="0" w:color="auto"/>
      </w:divBdr>
      <w:divsChild>
        <w:div w:id="1763068088">
          <w:marLeft w:val="0"/>
          <w:marRight w:val="0"/>
          <w:marTop w:val="0"/>
          <w:marBottom w:val="0"/>
          <w:divBdr>
            <w:top w:val="none" w:sz="0" w:space="0" w:color="auto"/>
            <w:left w:val="none" w:sz="0" w:space="0" w:color="auto"/>
            <w:bottom w:val="none" w:sz="0" w:space="0" w:color="auto"/>
            <w:right w:val="none" w:sz="0" w:space="0" w:color="auto"/>
          </w:divBdr>
        </w:div>
      </w:divsChild>
    </w:div>
    <w:div w:id="1998074965">
      <w:bodyDiv w:val="1"/>
      <w:marLeft w:val="0"/>
      <w:marRight w:val="0"/>
      <w:marTop w:val="0"/>
      <w:marBottom w:val="0"/>
      <w:divBdr>
        <w:top w:val="none" w:sz="0" w:space="0" w:color="auto"/>
        <w:left w:val="none" w:sz="0" w:space="0" w:color="auto"/>
        <w:bottom w:val="none" w:sz="0" w:space="0" w:color="auto"/>
        <w:right w:val="none" w:sz="0" w:space="0" w:color="auto"/>
      </w:divBdr>
    </w:div>
    <w:div w:id="2019187839">
      <w:bodyDiv w:val="1"/>
      <w:marLeft w:val="0"/>
      <w:marRight w:val="0"/>
      <w:marTop w:val="0"/>
      <w:marBottom w:val="0"/>
      <w:divBdr>
        <w:top w:val="none" w:sz="0" w:space="0" w:color="auto"/>
        <w:left w:val="none" w:sz="0" w:space="0" w:color="auto"/>
        <w:bottom w:val="none" w:sz="0" w:space="0" w:color="auto"/>
        <w:right w:val="none" w:sz="0" w:space="0" w:color="auto"/>
      </w:divBdr>
    </w:div>
    <w:div w:id="20278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g.yang@stonybrook.edu"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3BEB-D7D1-4E97-A758-AFE3906B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10835</Words>
  <Characters>61762</Characters>
  <Application>Microsoft Office Word</Application>
  <DocSecurity>0</DocSecurity>
  <Lines>514</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Deming Yang</dc:creator>
  <cp:keywords/>
  <dc:description/>
  <cp:lastModifiedBy>Deming Yang</cp:lastModifiedBy>
  <cp:revision>2</cp:revision>
  <cp:lastPrinted>2020-04-15T15:43:00Z</cp:lastPrinted>
  <dcterms:created xsi:type="dcterms:W3CDTF">2020-08-17T23:27:00Z</dcterms:created>
  <dcterms:modified xsi:type="dcterms:W3CDTF">2020-08-17T23:27:00Z</dcterms:modified>
</cp:coreProperties>
</file>